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A250B0C"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FB406D">
        <w:rPr>
          <w:bCs/>
          <w:noProof w:val="0"/>
          <w:sz w:val="24"/>
          <w:szCs w:val="24"/>
        </w:rPr>
        <w:t>5888</w:t>
      </w:r>
    </w:p>
    <w:p w14:paraId="11776FA6" w14:textId="31D9CC98" w:rsidR="00A209D6" w:rsidRPr="007352FF" w:rsidRDefault="00537809"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2C9A43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C1857">
        <w:rPr>
          <w:rFonts w:cs="Arial"/>
          <w:b/>
          <w:bCs/>
          <w:sz w:val="24"/>
          <w:lang w:eastAsia="ja-JP"/>
        </w:rPr>
        <w:t>7.</w:t>
      </w:r>
      <w:r w:rsidR="004B31FF">
        <w:rPr>
          <w:rFonts w:cs="Arial"/>
          <w:b/>
          <w:bCs/>
          <w:sz w:val="24"/>
          <w:lang w:eastAsia="ja-JP"/>
        </w:rPr>
        <w:t>8</w:t>
      </w:r>
      <w:r w:rsidR="005C1857">
        <w:rPr>
          <w:rFonts w:cs="Arial"/>
          <w:b/>
          <w:bCs/>
          <w:sz w:val="24"/>
          <w:lang w:eastAsia="ja-JP"/>
        </w:rPr>
        <w:t>.</w:t>
      </w:r>
      <w:r w:rsidR="004B31FF">
        <w:rPr>
          <w:rFonts w:cs="Arial"/>
          <w:b/>
          <w:bCs/>
          <w:sz w:val="24"/>
          <w:lang w:eastAsia="ja-JP"/>
        </w:rPr>
        <w:t>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CE105C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31FF">
        <w:rPr>
          <w:rFonts w:ascii="Arial" w:hAnsi="Arial" w:cs="Arial"/>
          <w:b/>
          <w:bCs/>
          <w:sz w:val="24"/>
        </w:rPr>
        <w:t>On</w:t>
      </w:r>
      <w:r w:rsidR="00BA61EE">
        <w:rPr>
          <w:rFonts w:ascii="Arial" w:hAnsi="Arial" w:cs="Arial"/>
          <w:b/>
          <w:bCs/>
          <w:sz w:val="24"/>
        </w:rPr>
        <w:t xml:space="preserve"> </w:t>
      </w:r>
      <w:r w:rsidR="00FB406D">
        <w:rPr>
          <w:rFonts w:ascii="Arial" w:hAnsi="Arial" w:cs="Arial"/>
          <w:b/>
          <w:bCs/>
          <w:sz w:val="24"/>
        </w:rPr>
        <w:t>H</w:t>
      </w:r>
      <w:r w:rsidR="00BA61EE">
        <w:rPr>
          <w:rFonts w:ascii="Arial" w:hAnsi="Arial" w:cs="Arial"/>
          <w:b/>
          <w:bCs/>
          <w:sz w:val="24"/>
        </w:rPr>
        <w:t xml:space="preserve">ow </w:t>
      </w:r>
      <w:r w:rsidR="00FB406D">
        <w:rPr>
          <w:rFonts w:ascii="Arial" w:hAnsi="Arial" w:cs="Arial"/>
          <w:b/>
          <w:bCs/>
          <w:sz w:val="24"/>
        </w:rPr>
        <w:t>T</w:t>
      </w:r>
      <w:r w:rsidR="00BA61EE">
        <w:rPr>
          <w:rFonts w:ascii="Arial" w:hAnsi="Arial" w:cs="Arial"/>
          <w:b/>
          <w:bCs/>
          <w:sz w:val="24"/>
        </w:rPr>
        <w:t xml:space="preserve">o </w:t>
      </w:r>
      <w:r w:rsidR="00FB406D">
        <w:rPr>
          <w:rFonts w:ascii="Arial" w:hAnsi="Arial" w:cs="Arial"/>
          <w:b/>
          <w:bCs/>
          <w:sz w:val="24"/>
        </w:rPr>
        <w:t>En</w:t>
      </w:r>
      <w:r w:rsidR="00BA61EE">
        <w:rPr>
          <w:rFonts w:ascii="Arial" w:hAnsi="Arial" w:cs="Arial"/>
          <w:b/>
          <w:bCs/>
          <w:sz w:val="24"/>
        </w:rPr>
        <w:t>sure</w:t>
      </w:r>
      <w:r w:rsidR="004B31FF">
        <w:rPr>
          <w:rFonts w:ascii="Arial" w:hAnsi="Arial" w:cs="Arial"/>
          <w:b/>
          <w:bCs/>
          <w:sz w:val="24"/>
        </w:rPr>
        <w:t xml:space="preserve"> QoS for </w:t>
      </w:r>
      <w:r w:rsidR="00282FA0">
        <w:rPr>
          <w:rFonts w:ascii="Arial" w:hAnsi="Arial" w:cs="Arial"/>
          <w:b/>
          <w:bCs/>
          <w:sz w:val="24"/>
        </w:rPr>
        <w:t xml:space="preserve">PC5-based </w:t>
      </w:r>
      <w:r w:rsidR="004B31FF">
        <w:rPr>
          <w:rFonts w:ascii="Arial" w:hAnsi="Arial" w:cs="Arial"/>
          <w:b/>
          <w:bCs/>
          <w:sz w:val="24"/>
        </w:rPr>
        <w:t xml:space="preserve">BRID and DAA </w:t>
      </w:r>
    </w:p>
    <w:p w14:paraId="25F387E8" w14:textId="4723F1A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B31FF" w:rsidRPr="004B31FF">
        <w:rPr>
          <w:rFonts w:ascii="Arial" w:hAnsi="Arial" w:cs="Arial"/>
          <w:b/>
          <w:bCs/>
          <w:sz w:val="24"/>
        </w:rPr>
        <w:t>NR_UAV-Core</w:t>
      </w:r>
      <w:r w:rsidRPr="00112F1A">
        <w:rPr>
          <w:rFonts w:ascii="Arial" w:hAnsi="Arial" w:cs="Arial"/>
          <w:b/>
          <w:bCs/>
          <w:sz w:val="24"/>
        </w:rPr>
        <w:t xml:space="preserve"> </w:t>
      </w:r>
      <w:r>
        <w:rPr>
          <w:rFonts w:ascii="Arial" w:hAnsi="Arial" w:cs="Arial"/>
          <w:b/>
          <w:bCs/>
          <w:sz w:val="24"/>
        </w:rPr>
        <w:t xml:space="preserve">- Release </w:t>
      </w:r>
      <w:r w:rsidR="005C1857">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81C3957" w14:textId="55AA4A2C" w:rsidR="00F8650B" w:rsidRDefault="00F8650B" w:rsidP="009339CB">
      <w:r>
        <w:t xml:space="preserve">At RAN2#121bis (April 2023) the following decisions on BRID and DAA have been made </w:t>
      </w:r>
      <w:r>
        <w:fldChar w:fldCharType="begin"/>
      </w:r>
      <w:r>
        <w:instrText xml:space="preserve"> REF _Ref134198904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F8650B" w14:paraId="7C4AEFD9" w14:textId="77777777" w:rsidTr="00F8650B">
        <w:tc>
          <w:tcPr>
            <w:tcW w:w="9631" w:type="dxa"/>
          </w:tcPr>
          <w:p w14:paraId="1E1C648D" w14:textId="77777777" w:rsidR="00F8650B" w:rsidRDefault="00F8650B" w:rsidP="00F8650B">
            <w:r>
              <w:t>Agreements:</w:t>
            </w:r>
          </w:p>
          <w:p w14:paraId="424A27E0" w14:textId="77777777" w:rsidR="00F8650B" w:rsidRDefault="00F8650B" w:rsidP="00F8650B">
            <w:r>
              <w:t>1.</w:t>
            </w:r>
            <w:r>
              <w:tab/>
              <w:t xml:space="preserve">DAA can be supported using the same framework as used for BRID transmission over the LTE and NR PC5 interface, without any specific enhancements. </w:t>
            </w:r>
          </w:p>
          <w:p w14:paraId="31E88E1F" w14:textId="77777777" w:rsidR="00F8650B" w:rsidRDefault="00F8650B" w:rsidP="00F8650B">
            <w:r>
              <w:t>2.</w:t>
            </w:r>
            <w:r>
              <w:tab/>
              <w:t xml:space="preserve">LTE PC5 Mode-4 resource allocation is supported, and LTE PC5 Mode-3 is not supported </w:t>
            </w:r>
          </w:p>
          <w:p w14:paraId="41A11B9F" w14:textId="77777777" w:rsidR="00F8650B" w:rsidRDefault="00F8650B" w:rsidP="00F8650B">
            <w:r>
              <w:t>3.</w:t>
            </w:r>
            <w:r>
              <w:tab/>
              <w:t xml:space="preserve">NR PC5 mode-1 is not supported </w:t>
            </w:r>
          </w:p>
          <w:p w14:paraId="5CAD6CDD" w14:textId="77777777" w:rsidR="00F8650B" w:rsidRDefault="00F8650B" w:rsidP="00F8650B">
            <w:r>
              <w:t>4.</w:t>
            </w:r>
            <w:r>
              <w:tab/>
              <w:t>For LTE PC5, we will follow the NR PC5 framework agreements, unless explicitly identified e.g. a strong technical reason</w:t>
            </w:r>
          </w:p>
          <w:p w14:paraId="04364CC8" w14:textId="77777777" w:rsidR="00F8650B" w:rsidRDefault="00F8650B" w:rsidP="00F8650B">
            <w:r>
              <w:t>5.</w:t>
            </w:r>
            <w:r>
              <w:tab/>
              <w:t>RAN2 assumes that BRID and DAA services will be delivered on a frequency designated by regulators</w:t>
            </w:r>
          </w:p>
          <w:p w14:paraId="322C36C0" w14:textId="77777777" w:rsidR="00F8650B" w:rsidRDefault="00F8650B" w:rsidP="00F8650B">
            <w:r>
              <w:t>6.</w:t>
            </w:r>
            <w:r>
              <w:tab/>
              <w:t xml:space="preserve">As a baseline, we will use the existing V2X QoS framework.  FFS whether different resource pools are needed for UAV services  </w:t>
            </w:r>
          </w:p>
          <w:p w14:paraId="653D3006" w14:textId="77777777" w:rsidR="00F8650B" w:rsidRDefault="00F8650B" w:rsidP="00F8650B">
            <w:r>
              <w:t>7.</w:t>
            </w:r>
            <w:r>
              <w:tab/>
              <w:t>No further enhancement on PC5 range for A2X broadcast services will be pursued in this release</w:t>
            </w:r>
          </w:p>
          <w:p w14:paraId="776852EF" w14:textId="77777777" w:rsidR="00F8650B" w:rsidRDefault="00F8650B" w:rsidP="00F8650B">
            <w:r>
              <w:t>8.</w:t>
            </w:r>
            <w:r>
              <w:tab/>
              <w:t>We will not investigate interference for BRID and DAA broadcast</w:t>
            </w:r>
          </w:p>
          <w:p w14:paraId="78428538" w14:textId="77777777" w:rsidR="00F8650B" w:rsidRDefault="00F8650B" w:rsidP="00F8650B">
            <w:r>
              <w:t>9.</w:t>
            </w:r>
            <w:r>
              <w:tab/>
              <w:t>Send an LS to SA2 to:</w:t>
            </w:r>
          </w:p>
          <w:p w14:paraId="2AFDB2DA" w14:textId="77777777" w:rsidR="00F8650B" w:rsidRDefault="00F8650B" w:rsidP="00F8650B">
            <w:r>
              <w:t>a.</w:t>
            </w:r>
            <w:r>
              <w:tab/>
              <w:t>inform them as a result of RAN Plenary decision to re-use BRID RAN2 will only support PC5 broadcast for deconfliction in RAN in release 18.</w:t>
            </w:r>
          </w:p>
          <w:p w14:paraId="16FCD382" w14:textId="61C31243" w:rsidR="00F8650B" w:rsidRDefault="00F8650B" w:rsidP="00F8650B">
            <w:r>
              <w:t>b.</w:t>
            </w:r>
            <w:r>
              <w:tab/>
              <w:t>ask SA2 whether BRID and DAA broadcast over LTE and NR PC5 requires new QoS requirements and parameters not supported within the ranges supported for V2X</w:t>
            </w:r>
          </w:p>
        </w:tc>
      </w:tr>
    </w:tbl>
    <w:p w14:paraId="57657C84" w14:textId="392C10E0" w:rsidR="00BE7A94" w:rsidRDefault="00F8650B" w:rsidP="00F20D45">
      <w:pPr>
        <w:jc w:val="both"/>
      </w:pPr>
      <w:r>
        <w:br/>
        <w:t xml:space="preserve">It remained unclear if the existing QoS requirements, defined for PC5-based V2X in both LTE and NR, can be reused for BRID and DAA. Thus, the LS has been sent to SA2 </w:t>
      </w:r>
      <w:r>
        <w:fldChar w:fldCharType="begin"/>
      </w:r>
      <w:r>
        <w:instrText xml:space="preserve"> REF _Ref134199145 \r \h </w:instrText>
      </w:r>
      <w:r w:rsidR="00F20D45">
        <w:instrText xml:space="preserve"> \* MERGEFORMAT </w:instrText>
      </w:r>
      <w:r>
        <w:fldChar w:fldCharType="separate"/>
      </w:r>
      <w:r>
        <w:t>[2]</w:t>
      </w:r>
      <w:r>
        <w:fldChar w:fldCharType="end"/>
      </w:r>
      <w:r>
        <w:t xml:space="preserve">, wherein RAN2 seeks for the answer to </w:t>
      </w:r>
      <w:r w:rsidR="000B6D3F">
        <w:t>these</w:t>
      </w:r>
      <w:r>
        <w:t xml:space="preserve"> doubts. In this paper we attempt to shed some light on the topic.</w:t>
      </w:r>
    </w:p>
    <w:p w14:paraId="7D484B6E" w14:textId="57483CF6" w:rsidR="009339CB" w:rsidRPr="006E13D1" w:rsidRDefault="009339CB" w:rsidP="00F20D45">
      <w:pPr>
        <w:pStyle w:val="Heading1"/>
        <w:jc w:val="both"/>
      </w:pPr>
      <w:r w:rsidRPr="006E13D1">
        <w:t>2</w:t>
      </w:r>
      <w:r w:rsidRPr="006E13D1">
        <w:tab/>
      </w:r>
      <w:r w:rsidR="00BE7A94">
        <w:t>Discussion</w:t>
      </w:r>
    </w:p>
    <w:p w14:paraId="5982B445" w14:textId="0CCCD30D" w:rsidR="009339CB" w:rsidRPr="006E13D1" w:rsidRDefault="009339CB" w:rsidP="00F20D45">
      <w:pPr>
        <w:pStyle w:val="Heading2"/>
        <w:jc w:val="both"/>
      </w:pPr>
      <w:r>
        <w:t>2</w:t>
      </w:r>
      <w:r w:rsidRPr="006E13D1">
        <w:t>.1</w:t>
      </w:r>
      <w:r w:rsidRPr="006E13D1">
        <w:tab/>
      </w:r>
      <w:r w:rsidR="0022362C">
        <w:t>PQIs and PPPP/PPPR</w:t>
      </w:r>
      <w:r w:rsidR="00BE7A94">
        <w:t xml:space="preserve"> </w:t>
      </w:r>
    </w:p>
    <w:p w14:paraId="477EBC44" w14:textId="5152890D" w:rsidR="008208AC" w:rsidRDefault="007E454F" w:rsidP="00F20D45">
      <w:pPr>
        <w:jc w:val="both"/>
      </w:pPr>
      <w:r>
        <w:t>The QoS requirements for Sidelink/PC5</w:t>
      </w:r>
      <w:r w:rsidR="00C92095">
        <w:t>-</w:t>
      </w:r>
      <w:r>
        <w:t xml:space="preserve">based V2X have been defined in SA2 specifications: for LTE in </w:t>
      </w:r>
      <w:r>
        <w:fldChar w:fldCharType="begin"/>
      </w:r>
      <w:r>
        <w:instrText xml:space="preserve"> REF _Ref134199330 \r \h </w:instrText>
      </w:r>
      <w:r w:rsidR="00F20D45">
        <w:instrText xml:space="preserve"> \* MERGEFORMAT </w:instrText>
      </w:r>
      <w:r>
        <w:fldChar w:fldCharType="separate"/>
      </w:r>
      <w:r>
        <w:t>[3]</w:t>
      </w:r>
      <w:r>
        <w:fldChar w:fldCharType="end"/>
      </w:r>
      <w:r>
        <w:t xml:space="preserve">, while for NR in </w:t>
      </w:r>
      <w:r>
        <w:fldChar w:fldCharType="begin"/>
      </w:r>
      <w:r>
        <w:instrText xml:space="preserve"> REF _Ref134199342 \r \h </w:instrText>
      </w:r>
      <w:r w:rsidR="00F20D45">
        <w:instrText xml:space="preserve"> \* MERGEFORMAT </w:instrText>
      </w:r>
      <w:r>
        <w:fldChar w:fldCharType="separate"/>
      </w:r>
      <w:r>
        <w:t>[4]</w:t>
      </w:r>
      <w:r>
        <w:fldChar w:fldCharType="end"/>
      </w:r>
      <w:r>
        <w:t xml:space="preserve">. </w:t>
      </w:r>
      <w:r w:rsidR="000E367E">
        <w:t xml:space="preserve">In NR the </w:t>
      </w:r>
      <w:r w:rsidR="006E390B">
        <w:t xml:space="preserve">quality requirements are described using PQI </w:t>
      </w:r>
      <w:r w:rsidR="009C62E0">
        <w:t>which stands for</w:t>
      </w:r>
      <w:r w:rsidR="006E390B">
        <w:t xml:space="preserve"> PC5 5QI</w:t>
      </w:r>
      <w:r w:rsidR="009C62E0">
        <w:t xml:space="preserve"> (5G </w:t>
      </w:r>
      <w:r w:rsidR="006E390B">
        <w:t>Quality Indicator</w:t>
      </w:r>
      <w:r w:rsidR="009C62E0">
        <w:t>)</w:t>
      </w:r>
      <w:r w:rsidR="006E390B">
        <w:t xml:space="preserve">. </w:t>
      </w:r>
      <w:r w:rsidR="00E15E40">
        <w:t>Such parameter is typically assigned per service type</w:t>
      </w:r>
      <w:r w:rsidR="00B2692C">
        <w:t xml:space="preserve">, i.e. so far it was meant to </w:t>
      </w:r>
      <w:r w:rsidR="000051C9">
        <w:t xml:space="preserve">represent the quality requirements for V2X, now </w:t>
      </w:r>
      <w:r w:rsidR="00DC57D8">
        <w:t>it is supposed to also indicate what requirements shall be ensured for BRID or DAA.</w:t>
      </w:r>
    </w:p>
    <w:p w14:paraId="17084A9A" w14:textId="0F8960B0" w:rsidR="0057750C" w:rsidRPr="00494270" w:rsidRDefault="008208AC" w:rsidP="00D54342">
      <w:pPr>
        <w:jc w:val="both"/>
        <w:rPr>
          <w:b/>
          <w:bCs/>
        </w:rPr>
      </w:pPr>
      <w:r w:rsidRPr="00494270">
        <w:rPr>
          <w:b/>
          <w:bCs/>
        </w:rPr>
        <w:lastRenderedPageBreak/>
        <w:t xml:space="preserve">Observation 1: For NR </w:t>
      </w:r>
      <w:r w:rsidR="00E43E46">
        <w:rPr>
          <w:b/>
          <w:bCs/>
        </w:rPr>
        <w:t xml:space="preserve">the </w:t>
      </w:r>
      <w:r w:rsidRPr="00494270">
        <w:rPr>
          <w:b/>
          <w:bCs/>
        </w:rPr>
        <w:t xml:space="preserve">QoS requirements for PC5 are represented using </w:t>
      </w:r>
      <w:r w:rsidR="00494270" w:rsidRPr="00494270">
        <w:rPr>
          <w:b/>
          <w:bCs/>
        </w:rPr>
        <w:t>service specific</w:t>
      </w:r>
      <w:r w:rsidRPr="00494270">
        <w:rPr>
          <w:b/>
          <w:bCs/>
        </w:rPr>
        <w:t xml:space="preserve"> PQIs, defined in TS 23.287.</w:t>
      </w:r>
    </w:p>
    <w:p w14:paraId="0A7946FC" w14:textId="7ACB7688" w:rsidR="00494270" w:rsidRDefault="00261FA1" w:rsidP="00D54342">
      <w:pPr>
        <w:jc w:val="both"/>
      </w:pPr>
      <w:r>
        <w:t xml:space="preserve">In LTE the QoS handling </w:t>
      </w:r>
      <w:r w:rsidR="00575ABE">
        <w:t>for PC5 was implemented via PPPP (ProSe Per Packet Priority) and PPPR (ProSe Per Packet Reliability).</w:t>
      </w:r>
      <w:r w:rsidR="00B75311">
        <w:t xml:space="preserve"> It is the application layer’s responsibility to assign PPPP and PPPR to each V2X message when passing it to lower layer</w:t>
      </w:r>
      <w:r w:rsidR="00C502B8">
        <w:t xml:space="preserve">s for transmission. </w:t>
      </w:r>
      <w:r w:rsidR="00E43E46">
        <w:t xml:space="preserve">The detailed principles are described in TS 23.285. </w:t>
      </w:r>
    </w:p>
    <w:p w14:paraId="144038BB" w14:textId="706E7B94" w:rsidR="00E43E46" w:rsidRPr="00250C08" w:rsidRDefault="00E43E46" w:rsidP="00D54342">
      <w:pPr>
        <w:jc w:val="both"/>
        <w:rPr>
          <w:b/>
          <w:bCs/>
        </w:rPr>
      </w:pPr>
      <w:r w:rsidRPr="00250C08">
        <w:rPr>
          <w:b/>
          <w:bCs/>
        </w:rPr>
        <w:t xml:space="preserve">Observation 2: For LTE the QoS requirements for PC5 are represented using </w:t>
      </w:r>
      <w:r w:rsidR="00250C08" w:rsidRPr="00250C08">
        <w:rPr>
          <w:b/>
          <w:bCs/>
        </w:rPr>
        <w:t>PPPP and PPPR values</w:t>
      </w:r>
      <w:r w:rsidR="00C00358">
        <w:rPr>
          <w:b/>
          <w:bCs/>
        </w:rPr>
        <w:t xml:space="preserve"> (define</w:t>
      </w:r>
      <w:r w:rsidR="00CE5367">
        <w:rPr>
          <w:b/>
          <w:bCs/>
        </w:rPr>
        <w:t>d</w:t>
      </w:r>
      <w:r w:rsidR="00C00358">
        <w:rPr>
          <w:b/>
          <w:bCs/>
        </w:rPr>
        <w:t xml:space="preserve"> in TS 23.285)</w:t>
      </w:r>
      <w:r w:rsidR="00250C08" w:rsidRPr="00250C08">
        <w:rPr>
          <w:b/>
          <w:bCs/>
        </w:rPr>
        <w:t>, assigned by the application layer to each message sent to lower layers for transmission.</w:t>
      </w:r>
    </w:p>
    <w:p w14:paraId="465F81C8" w14:textId="6B9B7044" w:rsidR="00083C16" w:rsidRDefault="00F46232" w:rsidP="00D54342">
      <w:pPr>
        <w:jc w:val="both"/>
      </w:pPr>
      <w:r>
        <w:t xml:space="preserve">The PQI values for NR PC5 are standardized in </w:t>
      </w:r>
      <w:r>
        <w:fldChar w:fldCharType="begin"/>
      </w:r>
      <w:r>
        <w:instrText xml:space="preserve"> REF _Ref134199342 \r \h </w:instrText>
      </w:r>
      <w:r w:rsidR="00F20D45">
        <w:instrText xml:space="preserve"> \* MERGEFORMAT </w:instrText>
      </w:r>
      <w:r>
        <w:fldChar w:fldCharType="separate"/>
      </w:r>
      <w:r>
        <w:t>[4]</w:t>
      </w:r>
      <w:r>
        <w:fldChar w:fldCharType="end"/>
      </w:r>
      <w:r>
        <w:t>.</w:t>
      </w:r>
      <w:r w:rsidR="00DF6612">
        <w:t xml:space="preserve"> Each PQI value has a corresponding </w:t>
      </w:r>
      <w:r w:rsidR="00DE7AD0">
        <w:t>resource type (e.g. GBR or non-GBR), priority level, packet delay budget or exemplary services. The d</w:t>
      </w:r>
      <w:r w:rsidR="00D46360">
        <w:t xml:space="preserve">etails are captured in </w:t>
      </w:r>
      <w:r w:rsidR="005E74FB">
        <w:t>T</w:t>
      </w:r>
      <w:r w:rsidR="00D46360">
        <w:t>able</w:t>
      </w:r>
      <w:r w:rsidR="005E74FB">
        <w:t xml:space="preserve"> I</w:t>
      </w:r>
      <w:r w:rsidR="00D46360">
        <w:t xml:space="preserve"> below (excerpt from </w:t>
      </w:r>
      <w:r w:rsidR="00D46360">
        <w:fldChar w:fldCharType="begin"/>
      </w:r>
      <w:r w:rsidR="00D46360">
        <w:instrText xml:space="preserve"> REF _Ref134199342 \r \h </w:instrText>
      </w:r>
      <w:r w:rsidR="00F20D45">
        <w:instrText xml:space="preserve"> \* MERGEFORMAT </w:instrText>
      </w:r>
      <w:r w:rsidR="00D46360">
        <w:fldChar w:fldCharType="separate"/>
      </w:r>
      <w:r w:rsidR="00D46360">
        <w:t>[4]</w:t>
      </w:r>
      <w:r w:rsidR="00D46360">
        <w:fldChar w:fldCharType="end"/>
      </w:r>
      <w:r w:rsidR="00D46360">
        <w:t>)</w:t>
      </w:r>
      <w:r w:rsidR="000068EE">
        <w:t>.</w:t>
      </w:r>
    </w:p>
    <w:p w14:paraId="5EA5BD1A" w14:textId="36013C85" w:rsidR="000068EE" w:rsidRDefault="000068EE" w:rsidP="00D54342">
      <w:pPr>
        <w:jc w:val="both"/>
      </w:pPr>
      <w:r>
        <w:t xml:space="preserve">The requirements concerning BRID messages are defined in </w:t>
      </w:r>
      <w:r>
        <w:fldChar w:fldCharType="begin"/>
      </w:r>
      <w:r>
        <w:instrText xml:space="preserve"> REF _Ref134441403 \r \h </w:instrText>
      </w:r>
      <w:r w:rsidR="00F20D45">
        <w:instrText xml:space="preserve"> \* MERGEFORMAT </w:instrText>
      </w:r>
      <w:r>
        <w:fldChar w:fldCharType="separate"/>
      </w:r>
      <w:r>
        <w:t>[5]</w:t>
      </w:r>
      <w:r>
        <w:fldChar w:fldCharType="end"/>
      </w:r>
      <w:r>
        <w:t xml:space="preserve">. Based on this source of information, it can be concluded BRID does not require </w:t>
      </w:r>
      <w:r w:rsidR="00502896">
        <w:t>too tight QoS requirements – i.e. several hundreds of bytes tra</w:t>
      </w:r>
      <w:r w:rsidR="00EF3E2E">
        <w:t xml:space="preserve">nsmitted roughly once per second. </w:t>
      </w:r>
    </w:p>
    <w:p w14:paraId="79D2F6D1" w14:textId="1795292A" w:rsidR="00EF3E2E" w:rsidRPr="00026D0F" w:rsidRDefault="00EF3E2E" w:rsidP="00D54342">
      <w:pPr>
        <w:jc w:val="both"/>
        <w:rPr>
          <w:b/>
          <w:bCs/>
        </w:rPr>
      </w:pPr>
      <w:r w:rsidRPr="00026D0F">
        <w:rPr>
          <w:b/>
          <w:bCs/>
        </w:rPr>
        <w:t>Observation 3:</w:t>
      </w:r>
      <w:r w:rsidR="006B4069" w:rsidRPr="00026D0F">
        <w:rPr>
          <w:b/>
          <w:bCs/>
        </w:rPr>
        <w:t xml:space="preserve"> </w:t>
      </w:r>
      <w:r w:rsidR="00DC335B" w:rsidRPr="00026D0F">
        <w:rPr>
          <w:b/>
          <w:bCs/>
        </w:rPr>
        <w:t>The minimum p</w:t>
      </w:r>
      <w:r w:rsidR="006B4069" w:rsidRPr="00026D0F">
        <w:rPr>
          <w:b/>
          <w:bCs/>
        </w:rPr>
        <w:t>eriodicity of BRID</w:t>
      </w:r>
      <w:r w:rsidR="00DC335B" w:rsidRPr="00026D0F">
        <w:rPr>
          <w:b/>
          <w:bCs/>
        </w:rPr>
        <w:t xml:space="preserve"> is 1 s while the </w:t>
      </w:r>
      <w:r w:rsidR="00870753" w:rsidRPr="00026D0F">
        <w:rPr>
          <w:b/>
          <w:bCs/>
        </w:rPr>
        <w:t>expected message size is</w:t>
      </w:r>
      <w:r w:rsidR="00026D0F" w:rsidRPr="00026D0F">
        <w:rPr>
          <w:b/>
          <w:bCs/>
        </w:rPr>
        <w:t xml:space="preserve"> up to 250 bytes.</w:t>
      </w:r>
      <w:r w:rsidR="006B4069" w:rsidRPr="00026D0F">
        <w:rPr>
          <w:b/>
          <w:bCs/>
        </w:rPr>
        <w:t xml:space="preserve"> </w:t>
      </w:r>
      <w:r w:rsidRPr="00026D0F">
        <w:rPr>
          <w:b/>
          <w:bCs/>
        </w:rPr>
        <w:t xml:space="preserve"> </w:t>
      </w:r>
    </w:p>
    <w:p w14:paraId="3499F340" w14:textId="0D28A322" w:rsidR="00250C08" w:rsidRDefault="00D05872" w:rsidP="00D54342">
      <w:pPr>
        <w:jc w:val="both"/>
      </w:pPr>
      <w:r>
        <w:t xml:space="preserve">Thus, it can be observed the QoS requirements for BRID are more relaxed than </w:t>
      </w:r>
      <w:r w:rsidR="005E74FB">
        <w:t xml:space="preserve">for </w:t>
      </w:r>
      <w:r>
        <w:t xml:space="preserve">most of the </w:t>
      </w:r>
      <w:r w:rsidR="00154AED">
        <w:t xml:space="preserve">PQIs listed in Table I </w:t>
      </w:r>
      <w:r w:rsidR="0055240F">
        <w:fldChar w:fldCharType="begin"/>
      </w:r>
      <w:r w:rsidR="0055240F">
        <w:instrText xml:space="preserve"> REF _Ref134199342 \r \h </w:instrText>
      </w:r>
      <w:r w:rsidR="00F20D45">
        <w:instrText xml:space="preserve"> \* MERGEFORMAT </w:instrText>
      </w:r>
      <w:r w:rsidR="0055240F">
        <w:fldChar w:fldCharType="separate"/>
      </w:r>
      <w:r w:rsidR="0055240F">
        <w:t>[4]</w:t>
      </w:r>
      <w:r w:rsidR="0055240F">
        <w:fldChar w:fldCharType="end"/>
      </w:r>
      <w:r w:rsidR="00154AED">
        <w:t>.</w:t>
      </w:r>
    </w:p>
    <w:p w14:paraId="09C1BB8A" w14:textId="20821127" w:rsidR="0055240F" w:rsidRPr="00E13D2A" w:rsidRDefault="0055240F" w:rsidP="00D54342">
      <w:pPr>
        <w:jc w:val="both"/>
        <w:rPr>
          <w:b/>
          <w:bCs/>
        </w:rPr>
      </w:pPr>
      <w:r w:rsidRPr="00E13D2A">
        <w:rPr>
          <w:b/>
          <w:bCs/>
        </w:rPr>
        <w:t xml:space="preserve">Observation 4: QoS requirements for BRID are more relaxed than </w:t>
      </w:r>
      <w:r w:rsidR="005E74FB">
        <w:rPr>
          <w:b/>
          <w:bCs/>
        </w:rPr>
        <w:t xml:space="preserve">for </w:t>
      </w:r>
      <w:r w:rsidRPr="00E13D2A">
        <w:rPr>
          <w:b/>
          <w:bCs/>
        </w:rPr>
        <w:t>most of the PQIs listed in Table I.</w:t>
      </w:r>
    </w:p>
    <w:p w14:paraId="64820871" w14:textId="79A58BFC" w:rsidR="0055240F" w:rsidRDefault="0055240F" w:rsidP="00D54342">
      <w:pPr>
        <w:jc w:val="both"/>
      </w:pPr>
      <w:r>
        <w:t>However, it remains to be decided in SA2 whether any of the values listed in Table I is suitable also for BRID (and for DAA, as DAA shall follow the same principles as defined for BRID)</w:t>
      </w:r>
      <w:r w:rsidR="00E13D2A">
        <w:t xml:space="preserve"> or a new dedicated PQI shall be defined. </w:t>
      </w:r>
    </w:p>
    <w:p w14:paraId="7FB77A73" w14:textId="2AA9DD9E" w:rsidR="000B46B0" w:rsidRPr="00C30C71" w:rsidRDefault="000B46B0" w:rsidP="00D54342">
      <w:pPr>
        <w:jc w:val="both"/>
        <w:rPr>
          <w:b/>
          <w:bCs/>
        </w:rPr>
      </w:pPr>
      <w:r w:rsidRPr="00C30C71">
        <w:rPr>
          <w:b/>
          <w:bCs/>
        </w:rPr>
        <w:t xml:space="preserve">Observation 5: </w:t>
      </w:r>
      <w:r w:rsidR="002905FC" w:rsidRPr="00C30C71">
        <w:rPr>
          <w:b/>
          <w:bCs/>
        </w:rPr>
        <w:t xml:space="preserve">SA2 should decide whether any of the </w:t>
      </w:r>
      <w:r w:rsidR="002E0016">
        <w:rPr>
          <w:b/>
          <w:bCs/>
        </w:rPr>
        <w:t xml:space="preserve">NR </w:t>
      </w:r>
      <w:r w:rsidR="002905FC" w:rsidRPr="00C30C71">
        <w:rPr>
          <w:b/>
          <w:bCs/>
        </w:rPr>
        <w:t>PQI values listed in TS 2</w:t>
      </w:r>
      <w:r w:rsidR="00874EF6">
        <w:rPr>
          <w:b/>
          <w:bCs/>
        </w:rPr>
        <w:t>3.287</w:t>
      </w:r>
      <w:r w:rsidR="002905FC" w:rsidRPr="00C30C71">
        <w:rPr>
          <w:b/>
          <w:bCs/>
        </w:rPr>
        <w:t xml:space="preserve"> is suitable also for BRID and DAA</w:t>
      </w:r>
      <w:r w:rsidR="00322831" w:rsidRPr="00C30C71">
        <w:rPr>
          <w:b/>
          <w:bCs/>
        </w:rPr>
        <w:t xml:space="preserve"> </w:t>
      </w:r>
      <w:r w:rsidR="002905FC" w:rsidRPr="00C30C71">
        <w:rPr>
          <w:b/>
          <w:bCs/>
        </w:rPr>
        <w:t>or a new dedicated PQI shall be defined</w:t>
      </w:r>
      <w:r w:rsidR="00C30C71" w:rsidRPr="00C30C71">
        <w:rPr>
          <w:b/>
          <w:bCs/>
        </w:rPr>
        <w:t xml:space="preserve"> for this purpose.</w:t>
      </w:r>
    </w:p>
    <w:p w14:paraId="312B7DB2" w14:textId="647A3C09" w:rsidR="00044CB3" w:rsidRDefault="00D104B5" w:rsidP="00D54342">
      <w:pPr>
        <w:jc w:val="both"/>
      </w:pPr>
      <w:r>
        <w:t>In case of LTE</w:t>
      </w:r>
      <w:r w:rsidR="00044CB3">
        <w:t xml:space="preserve">, the PPPP </w:t>
      </w:r>
      <w:r w:rsidR="00584411">
        <w:t>principles</w:t>
      </w:r>
      <w:r w:rsidR="00044CB3">
        <w:t xml:space="preserve"> are described in </w:t>
      </w:r>
      <w:r w:rsidR="00044CB3">
        <w:fldChar w:fldCharType="begin"/>
      </w:r>
      <w:r w:rsidR="00044CB3">
        <w:instrText xml:space="preserve"> REF _Ref134444185 \r \h </w:instrText>
      </w:r>
      <w:r w:rsidR="00F20D45">
        <w:instrText xml:space="preserve"> \* MERGEFORMAT </w:instrText>
      </w:r>
      <w:r w:rsidR="00044CB3">
        <w:fldChar w:fldCharType="separate"/>
      </w:r>
      <w:r w:rsidR="00044CB3">
        <w:t>[6]</w:t>
      </w:r>
      <w:r w:rsidR="00044CB3">
        <w:fldChar w:fldCharType="end"/>
      </w:r>
      <w:r w:rsidR="00044CB3">
        <w:t xml:space="preserve">. </w:t>
      </w:r>
      <w:bookmarkStart w:id="0" w:name="_Hlk134447253"/>
      <w:r w:rsidR="00044CB3">
        <w:t>However, the application layer selects PPPPs based on criteria that are outside of the 3GPP</w:t>
      </w:r>
      <w:bookmarkEnd w:id="0"/>
      <w:r w:rsidR="00044CB3">
        <w:t xml:space="preserve">. Thus, we cannot provide a similar table </w:t>
      </w:r>
      <w:r w:rsidR="00F244DD">
        <w:t>for LTE.</w:t>
      </w:r>
    </w:p>
    <w:p w14:paraId="7BB1963E" w14:textId="7B52F91F" w:rsidR="00C30C71" w:rsidRPr="00F20D45" w:rsidRDefault="00F244DD" w:rsidP="00D54342">
      <w:pPr>
        <w:jc w:val="both"/>
        <w:rPr>
          <w:b/>
          <w:bCs/>
        </w:rPr>
      </w:pPr>
      <w:r w:rsidRPr="00F20D45">
        <w:rPr>
          <w:b/>
          <w:bCs/>
        </w:rPr>
        <w:t xml:space="preserve">Observation 6: </w:t>
      </w:r>
      <w:r w:rsidR="00584411" w:rsidRPr="00F20D45">
        <w:rPr>
          <w:b/>
          <w:bCs/>
        </w:rPr>
        <w:t>PPPP values for LTE PC5 are described i</w:t>
      </w:r>
      <w:r w:rsidR="00F20D45" w:rsidRPr="00F20D45">
        <w:rPr>
          <w:b/>
          <w:bCs/>
        </w:rPr>
        <w:t>n TS 23.303. However, the application layer selects PPPPs based on criteria that are outside of the 3GPP, so a similar table to Table I cannot be provided.</w:t>
      </w:r>
    </w:p>
    <w:p w14:paraId="22E1B10E" w14:textId="13287D72" w:rsidR="006764D9" w:rsidRPr="00D05872" w:rsidRDefault="006764D9" w:rsidP="006764D9">
      <w:pPr>
        <w:pStyle w:val="Caption"/>
        <w:keepNext/>
        <w:jc w:val="center"/>
        <w:rPr>
          <w:i w:val="0"/>
          <w:iCs w:val="0"/>
          <w:color w:val="000000" w:themeColor="text1"/>
        </w:rPr>
      </w:pPr>
      <w:r w:rsidRPr="00D05872">
        <w:rPr>
          <w:i w:val="0"/>
          <w:iCs w:val="0"/>
          <w:color w:val="000000" w:themeColor="text1"/>
        </w:rPr>
        <w:lastRenderedPageBreak/>
        <w:t xml:space="preserve">Table </w:t>
      </w:r>
      <w:r w:rsidRPr="00D05872">
        <w:rPr>
          <w:i w:val="0"/>
          <w:iCs w:val="0"/>
          <w:color w:val="000000" w:themeColor="text1"/>
        </w:rPr>
        <w:fldChar w:fldCharType="begin"/>
      </w:r>
      <w:r w:rsidRPr="00D05872">
        <w:rPr>
          <w:i w:val="0"/>
          <w:iCs w:val="0"/>
          <w:color w:val="000000" w:themeColor="text1"/>
        </w:rPr>
        <w:instrText xml:space="preserve"> SEQ Table \* ROMAN </w:instrText>
      </w:r>
      <w:r w:rsidRPr="00D05872">
        <w:rPr>
          <w:i w:val="0"/>
          <w:iCs w:val="0"/>
          <w:color w:val="000000" w:themeColor="text1"/>
        </w:rPr>
        <w:fldChar w:fldCharType="separate"/>
      </w:r>
      <w:r w:rsidRPr="00D05872">
        <w:rPr>
          <w:i w:val="0"/>
          <w:iCs w:val="0"/>
          <w:noProof/>
          <w:color w:val="000000" w:themeColor="text1"/>
        </w:rPr>
        <w:t>I</w:t>
      </w:r>
      <w:r w:rsidRPr="00D05872">
        <w:rPr>
          <w:i w:val="0"/>
          <w:iCs w:val="0"/>
          <w:color w:val="000000" w:themeColor="text1"/>
        </w:rPr>
        <w:fldChar w:fldCharType="end"/>
      </w:r>
      <w:r w:rsidRPr="00D05872">
        <w:rPr>
          <w:i w:val="0"/>
          <w:iCs w:val="0"/>
          <w:color w:val="000000" w:themeColor="text1"/>
        </w:rPr>
        <w:t xml:space="preserve">. Standardized PQIs </w:t>
      </w:r>
      <w:r w:rsidRPr="00D05872">
        <w:rPr>
          <w:i w:val="0"/>
          <w:iCs w:val="0"/>
          <w:color w:val="000000" w:themeColor="text1"/>
        </w:rPr>
        <w:fldChar w:fldCharType="begin"/>
      </w:r>
      <w:r w:rsidRPr="00D05872">
        <w:rPr>
          <w:i w:val="0"/>
          <w:iCs w:val="0"/>
          <w:color w:val="000000" w:themeColor="text1"/>
        </w:rPr>
        <w:instrText xml:space="preserve"> REF _Ref134199342 \r \h </w:instrText>
      </w:r>
      <w:r w:rsidR="00D05872">
        <w:rPr>
          <w:i w:val="0"/>
          <w:iCs w:val="0"/>
          <w:color w:val="000000" w:themeColor="text1"/>
        </w:rPr>
        <w:instrText xml:space="preserve"> \* MERGEFORMAT </w:instrText>
      </w:r>
      <w:r w:rsidRPr="00D05872">
        <w:rPr>
          <w:i w:val="0"/>
          <w:iCs w:val="0"/>
          <w:color w:val="000000" w:themeColor="text1"/>
        </w:rPr>
      </w:r>
      <w:r w:rsidRPr="00D05872">
        <w:rPr>
          <w:i w:val="0"/>
          <w:iCs w:val="0"/>
          <w:color w:val="000000" w:themeColor="text1"/>
        </w:rPr>
        <w:fldChar w:fldCharType="separate"/>
      </w:r>
      <w:r w:rsidRPr="00D05872">
        <w:rPr>
          <w:i w:val="0"/>
          <w:iCs w:val="0"/>
          <w:color w:val="000000" w:themeColor="text1"/>
        </w:rPr>
        <w:t>[4]</w:t>
      </w:r>
      <w:r w:rsidRPr="00D05872">
        <w:rPr>
          <w:i w:val="0"/>
          <w:iCs w:val="0"/>
          <w:color w:val="000000" w:themeColor="text1"/>
        </w:rPr>
        <w:fldChar w:fldCharType="end"/>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AB0878" w:rsidRPr="00AB0878" w14:paraId="614F5000" w14:textId="77777777" w:rsidTr="006764D9">
        <w:tc>
          <w:tcPr>
            <w:tcW w:w="990" w:type="dxa"/>
            <w:tcBorders>
              <w:top w:val="single" w:sz="12" w:space="0" w:color="auto"/>
              <w:left w:val="single" w:sz="12" w:space="0" w:color="auto"/>
              <w:bottom w:val="single" w:sz="12" w:space="0" w:color="auto"/>
              <w:right w:val="single" w:sz="12" w:space="0" w:color="auto"/>
            </w:tcBorders>
          </w:tcPr>
          <w:p w14:paraId="3BD576E5"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b/>
                <w:sz w:val="18"/>
                <w:lang w:eastAsia="en-GB"/>
              </w:rPr>
            </w:pPr>
            <w:r w:rsidRPr="00AB0878">
              <w:rPr>
                <w:rFonts w:ascii="Arial" w:hAnsi="Arial"/>
                <w:b/>
                <w:sz w:val="18"/>
                <w:lang w:eastAsia="en-GB"/>
              </w:rPr>
              <w:t>PQI</w:t>
            </w:r>
          </w:p>
          <w:p w14:paraId="073EFB66"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b/>
                <w:sz w:val="18"/>
                <w:lang w:eastAsia="en-GB"/>
              </w:rPr>
            </w:pPr>
            <w:r w:rsidRPr="00AB0878">
              <w:rPr>
                <w:rFonts w:ascii="Arial" w:hAnsi="Arial"/>
                <w:b/>
                <w:sz w:val="18"/>
                <w:lang w:eastAsia="en-GB"/>
              </w:rPr>
              <w:t>Value</w:t>
            </w:r>
          </w:p>
        </w:tc>
        <w:tc>
          <w:tcPr>
            <w:tcW w:w="1058" w:type="dxa"/>
            <w:tcBorders>
              <w:top w:val="single" w:sz="12" w:space="0" w:color="auto"/>
              <w:left w:val="single" w:sz="12" w:space="0" w:color="auto"/>
              <w:bottom w:val="single" w:sz="12" w:space="0" w:color="auto"/>
              <w:right w:val="single" w:sz="12" w:space="0" w:color="auto"/>
            </w:tcBorders>
          </w:tcPr>
          <w:p w14:paraId="163F211E"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b/>
                <w:sz w:val="18"/>
                <w:lang w:eastAsia="en-GB"/>
              </w:rPr>
            </w:pPr>
            <w:r w:rsidRPr="00AB0878">
              <w:rPr>
                <w:rFonts w:ascii="Arial" w:hAnsi="Arial"/>
                <w:b/>
                <w:sz w:val="18"/>
                <w:lang w:eastAsia="en-GB"/>
              </w:rPr>
              <w:t>Resource Type</w:t>
            </w:r>
          </w:p>
        </w:tc>
        <w:tc>
          <w:tcPr>
            <w:tcW w:w="911" w:type="dxa"/>
            <w:tcBorders>
              <w:top w:val="single" w:sz="12" w:space="0" w:color="auto"/>
              <w:left w:val="single" w:sz="12" w:space="0" w:color="auto"/>
              <w:bottom w:val="single" w:sz="12" w:space="0" w:color="auto"/>
              <w:right w:val="single" w:sz="12" w:space="0" w:color="auto"/>
            </w:tcBorders>
          </w:tcPr>
          <w:p w14:paraId="0EE6440F"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b/>
                <w:sz w:val="18"/>
                <w:lang w:eastAsia="en-GB"/>
              </w:rPr>
            </w:pPr>
            <w:r w:rsidRPr="00AB0878">
              <w:rPr>
                <w:rFonts w:ascii="Arial" w:hAnsi="Arial"/>
                <w:b/>
                <w:sz w:val="18"/>
                <w:lang w:eastAsia="en-GB"/>
              </w:rPr>
              <w:t>Default Priority Level</w:t>
            </w:r>
          </w:p>
        </w:tc>
        <w:tc>
          <w:tcPr>
            <w:tcW w:w="1064" w:type="dxa"/>
            <w:tcBorders>
              <w:top w:val="single" w:sz="12" w:space="0" w:color="auto"/>
              <w:left w:val="single" w:sz="12" w:space="0" w:color="auto"/>
              <w:bottom w:val="single" w:sz="12" w:space="0" w:color="auto"/>
              <w:right w:val="single" w:sz="12" w:space="0" w:color="auto"/>
            </w:tcBorders>
          </w:tcPr>
          <w:p w14:paraId="32CDA3DB"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b/>
                <w:sz w:val="18"/>
                <w:lang w:eastAsia="en-GB"/>
              </w:rPr>
            </w:pPr>
            <w:r w:rsidRPr="00AB0878">
              <w:rPr>
                <w:rFonts w:ascii="Arial" w:hAnsi="Arial"/>
                <w:b/>
                <w:sz w:val="18"/>
                <w:lang w:eastAsia="en-GB"/>
              </w:rPr>
              <w:t>Packet Delay Budget</w:t>
            </w:r>
          </w:p>
        </w:tc>
        <w:tc>
          <w:tcPr>
            <w:tcW w:w="797" w:type="dxa"/>
            <w:tcBorders>
              <w:top w:val="single" w:sz="12" w:space="0" w:color="auto"/>
              <w:left w:val="single" w:sz="12" w:space="0" w:color="auto"/>
              <w:bottom w:val="single" w:sz="12" w:space="0" w:color="auto"/>
              <w:right w:val="single" w:sz="12" w:space="0" w:color="auto"/>
            </w:tcBorders>
          </w:tcPr>
          <w:p w14:paraId="1613C913"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b/>
                <w:sz w:val="18"/>
                <w:lang w:eastAsia="en-GB"/>
              </w:rPr>
            </w:pPr>
            <w:r w:rsidRPr="00AB0878">
              <w:rPr>
                <w:rFonts w:ascii="Arial" w:hAnsi="Arial"/>
                <w:b/>
                <w:sz w:val="18"/>
                <w:lang w:eastAsia="en-GB"/>
              </w:rPr>
              <w:t>Packet Error</w:t>
            </w:r>
          </w:p>
          <w:p w14:paraId="1015A071"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b/>
                <w:sz w:val="18"/>
                <w:lang w:eastAsia="en-GB"/>
              </w:rPr>
            </w:pPr>
            <w:r w:rsidRPr="00AB0878">
              <w:rPr>
                <w:rFonts w:ascii="Arial" w:hAnsi="Arial"/>
                <w:b/>
                <w:sz w:val="18"/>
                <w:lang w:eastAsia="en-GB"/>
              </w:rPr>
              <w:t xml:space="preserve">Rate </w:t>
            </w:r>
          </w:p>
        </w:tc>
        <w:tc>
          <w:tcPr>
            <w:tcW w:w="1297" w:type="dxa"/>
            <w:tcBorders>
              <w:top w:val="single" w:sz="12" w:space="0" w:color="auto"/>
              <w:left w:val="single" w:sz="12" w:space="0" w:color="auto"/>
              <w:bottom w:val="single" w:sz="12" w:space="0" w:color="auto"/>
              <w:right w:val="single" w:sz="12" w:space="0" w:color="auto"/>
            </w:tcBorders>
          </w:tcPr>
          <w:p w14:paraId="28B8CDEB"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b/>
                <w:sz w:val="18"/>
                <w:lang w:eastAsia="en-GB"/>
              </w:rPr>
            </w:pPr>
            <w:r w:rsidRPr="00AB0878">
              <w:rPr>
                <w:rFonts w:ascii="Arial" w:hAnsi="Arial"/>
                <w:b/>
                <w:sz w:val="18"/>
                <w:lang w:eastAsia="en-GB"/>
              </w:rPr>
              <w:t>Default Maximum Data Burst Volume</w:t>
            </w:r>
          </w:p>
        </w:tc>
        <w:tc>
          <w:tcPr>
            <w:tcW w:w="1615" w:type="dxa"/>
            <w:tcBorders>
              <w:top w:val="single" w:sz="12" w:space="0" w:color="auto"/>
              <w:left w:val="single" w:sz="12" w:space="0" w:color="auto"/>
              <w:bottom w:val="single" w:sz="12" w:space="0" w:color="auto"/>
              <w:right w:val="single" w:sz="12" w:space="0" w:color="auto"/>
            </w:tcBorders>
          </w:tcPr>
          <w:p w14:paraId="54C0730E"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b/>
                <w:sz w:val="18"/>
                <w:lang w:eastAsia="en-GB"/>
              </w:rPr>
            </w:pPr>
            <w:r w:rsidRPr="00AB0878">
              <w:rPr>
                <w:rFonts w:ascii="Arial" w:hAnsi="Arial"/>
                <w:b/>
                <w:sz w:val="18"/>
                <w:lang w:eastAsia="en-GB"/>
              </w:rPr>
              <w:t>Default</w:t>
            </w:r>
          </w:p>
          <w:p w14:paraId="760AD33F"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b/>
                <w:sz w:val="18"/>
                <w:lang w:eastAsia="en-GB"/>
              </w:rPr>
            </w:pPr>
            <w:r w:rsidRPr="00AB0878">
              <w:rPr>
                <w:rFonts w:ascii="Arial" w:hAnsi="Arial"/>
                <w:b/>
                <w:sz w:val="18"/>
                <w:lang w:eastAsia="en-GB"/>
              </w:rPr>
              <w:t>Averaging Window</w:t>
            </w:r>
          </w:p>
        </w:tc>
        <w:tc>
          <w:tcPr>
            <w:tcW w:w="2055" w:type="dxa"/>
            <w:tcBorders>
              <w:top w:val="single" w:sz="12" w:space="0" w:color="auto"/>
              <w:left w:val="single" w:sz="12" w:space="0" w:color="auto"/>
              <w:bottom w:val="single" w:sz="12" w:space="0" w:color="auto"/>
              <w:right w:val="single" w:sz="12" w:space="0" w:color="auto"/>
            </w:tcBorders>
          </w:tcPr>
          <w:p w14:paraId="18571F0F"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b/>
                <w:sz w:val="18"/>
                <w:lang w:eastAsia="en-GB"/>
              </w:rPr>
            </w:pPr>
            <w:r w:rsidRPr="00AB0878">
              <w:rPr>
                <w:rFonts w:ascii="Arial" w:hAnsi="Arial"/>
                <w:b/>
                <w:sz w:val="18"/>
                <w:lang w:eastAsia="en-GB"/>
              </w:rPr>
              <w:t>Example Services</w:t>
            </w:r>
          </w:p>
        </w:tc>
      </w:tr>
      <w:tr w:rsidR="00AB0878" w:rsidRPr="00AB0878" w14:paraId="278AF004" w14:textId="77777777" w:rsidTr="006764D9">
        <w:tc>
          <w:tcPr>
            <w:tcW w:w="990" w:type="dxa"/>
            <w:tcBorders>
              <w:top w:val="single" w:sz="12" w:space="0" w:color="auto"/>
              <w:left w:val="single" w:sz="12" w:space="0" w:color="auto"/>
              <w:bottom w:val="single" w:sz="12" w:space="0" w:color="auto"/>
              <w:right w:val="single" w:sz="12" w:space="0" w:color="auto"/>
            </w:tcBorders>
          </w:tcPr>
          <w:p w14:paraId="3ABCE9C4"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21</w:t>
            </w:r>
            <w:r w:rsidRPr="00AB0878">
              <w:rPr>
                <w:rFonts w:ascii="Arial" w:hAnsi="Arial"/>
                <w:sz w:val="18"/>
                <w:lang w:eastAsia="en-GB"/>
              </w:rPr>
              <w:br/>
            </w:r>
          </w:p>
        </w:tc>
        <w:tc>
          <w:tcPr>
            <w:tcW w:w="1058" w:type="dxa"/>
            <w:tcBorders>
              <w:top w:val="single" w:sz="12" w:space="0" w:color="auto"/>
              <w:left w:val="single" w:sz="12" w:space="0" w:color="auto"/>
              <w:bottom w:val="nil"/>
              <w:right w:val="single" w:sz="12" w:space="0" w:color="auto"/>
            </w:tcBorders>
          </w:tcPr>
          <w:p w14:paraId="7C60CEE7"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br/>
              <w:t>GBR</w:t>
            </w:r>
          </w:p>
        </w:tc>
        <w:tc>
          <w:tcPr>
            <w:tcW w:w="911" w:type="dxa"/>
            <w:tcBorders>
              <w:top w:val="single" w:sz="12" w:space="0" w:color="auto"/>
              <w:left w:val="single" w:sz="12" w:space="0" w:color="auto"/>
              <w:bottom w:val="single" w:sz="12" w:space="0" w:color="auto"/>
              <w:right w:val="single" w:sz="12" w:space="0" w:color="auto"/>
            </w:tcBorders>
          </w:tcPr>
          <w:p w14:paraId="28EE77CB"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3</w:t>
            </w:r>
          </w:p>
        </w:tc>
        <w:tc>
          <w:tcPr>
            <w:tcW w:w="1064" w:type="dxa"/>
            <w:tcBorders>
              <w:top w:val="single" w:sz="12" w:space="0" w:color="auto"/>
              <w:left w:val="single" w:sz="12" w:space="0" w:color="auto"/>
              <w:bottom w:val="single" w:sz="12" w:space="0" w:color="auto"/>
              <w:right w:val="single" w:sz="12" w:space="0" w:color="auto"/>
            </w:tcBorders>
          </w:tcPr>
          <w:p w14:paraId="5F767498"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20 ms</w:t>
            </w:r>
          </w:p>
          <w:p w14:paraId="5E63E0DB"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p>
        </w:tc>
        <w:tc>
          <w:tcPr>
            <w:tcW w:w="797" w:type="dxa"/>
            <w:tcBorders>
              <w:top w:val="single" w:sz="12" w:space="0" w:color="auto"/>
              <w:left w:val="single" w:sz="12" w:space="0" w:color="auto"/>
              <w:bottom w:val="single" w:sz="12" w:space="0" w:color="auto"/>
              <w:right w:val="single" w:sz="12" w:space="0" w:color="auto"/>
            </w:tcBorders>
          </w:tcPr>
          <w:p w14:paraId="38B61224"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10</w:t>
            </w:r>
            <w:r w:rsidRPr="00AB0878">
              <w:rPr>
                <w:rFonts w:ascii="Arial" w:hAnsi="Arial"/>
                <w:sz w:val="22"/>
                <w:vertAlign w:val="superscript"/>
                <w:lang w:eastAsia="en-GB"/>
              </w:rPr>
              <w:t>-4</w:t>
            </w:r>
          </w:p>
        </w:tc>
        <w:tc>
          <w:tcPr>
            <w:tcW w:w="1297" w:type="dxa"/>
            <w:tcBorders>
              <w:top w:val="single" w:sz="12" w:space="0" w:color="auto"/>
              <w:left w:val="single" w:sz="12" w:space="0" w:color="auto"/>
              <w:bottom w:val="single" w:sz="12" w:space="0" w:color="auto"/>
              <w:right w:val="single" w:sz="12" w:space="0" w:color="auto"/>
            </w:tcBorders>
          </w:tcPr>
          <w:p w14:paraId="3BE2CE16"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N/A</w:t>
            </w:r>
          </w:p>
        </w:tc>
        <w:tc>
          <w:tcPr>
            <w:tcW w:w="1615" w:type="dxa"/>
            <w:tcBorders>
              <w:top w:val="single" w:sz="12" w:space="0" w:color="auto"/>
              <w:left w:val="single" w:sz="12" w:space="0" w:color="auto"/>
              <w:bottom w:val="single" w:sz="12" w:space="0" w:color="auto"/>
              <w:right w:val="single" w:sz="12" w:space="0" w:color="auto"/>
            </w:tcBorders>
          </w:tcPr>
          <w:p w14:paraId="07090820"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2000 ms</w:t>
            </w:r>
          </w:p>
        </w:tc>
        <w:tc>
          <w:tcPr>
            <w:tcW w:w="2055" w:type="dxa"/>
            <w:tcBorders>
              <w:top w:val="single" w:sz="12" w:space="0" w:color="auto"/>
              <w:left w:val="single" w:sz="12" w:space="0" w:color="auto"/>
              <w:bottom w:val="single" w:sz="12" w:space="0" w:color="auto"/>
              <w:right w:val="single" w:sz="12" w:space="0" w:color="auto"/>
            </w:tcBorders>
          </w:tcPr>
          <w:p w14:paraId="008956D8"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Platooning between UEs – Higher degree of automation;</w:t>
            </w:r>
          </w:p>
          <w:p w14:paraId="2FD55E2F"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Platooning between UE and RSU – Higher degree of automation</w:t>
            </w:r>
          </w:p>
        </w:tc>
      </w:tr>
      <w:tr w:rsidR="00AB0878" w:rsidRPr="00AB0878" w14:paraId="68662F19" w14:textId="77777777" w:rsidTr="006764D9">
        <w:tc>
          <w:tcPr>
            <w:tcW w:w="990" w:type="dxa"/>
            <w:tcBorders>
              <w:top w:val="single" w:sz="12" w:space="0" w:color="auto"/>
              <w:left w:val="single" w:sz="12" w:space="0" w:color="auto"/>
              <w:bottom w:val="single" w:sz="12" w:space="0" w:color="auto"/>
              <w:right w:val="single" w:sz="12" w:space="0" w:color="auto"/>
            </w:tcBorders>
          </w:tcPr>
          <w:p w14:paraId="18269E9D"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22</w:t>
            </w:r>
            <w:r w:rsidRPr="00AB0878">
              <w:rPr>
                <w:rFonts w:ascii="Arial" w:hAnsi="Arial"/>
                <w:sz w:val="18"/>
                <w:lang w:eastAsia="en-GB"/>
              </w:rPr>
              <w:br/>
            </w:r>
          </w:p>
        </w:tc>
        <w:tc>
          <w:tcPr>
            <w:tcW w:w="1058" w:type="dxa"/>
            <w:tcBorders>
              <w:top w:val="nil"/>
              <w:left w:val="single" w:sz="12" w:space="0" w:color="auto"/>
              <w:bottom w:val="nil"/>
              <w:right w:val="single" w:sz="12" w:space="0" w:color="auto"/>
            </w:tcBorders>
          </w:tcPr>
          <w:p w14:paraId="1C9F9E01"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(NOTE 1)</w:t>
            </w:r>
          </w:p>
        </w:tc>
        <w:tc>
          <w:tcPr>
            <w:tcW w:w="911" w:type="dxa"/>
            <w:tcBorders>
              <w:top w:val="single" w:sz="12" w:space="0" w:color="auto"/>
              <w:left w:val="single" w:sz="12" w:space="0" w:color="auto"/>
              <w:bottom w:val="single" w:sz="12" w:space="0" w:color="auto"/>
              <w:right w:val="single" w:sz="12" w:space="0" w:color="auto"/>
            </w:tcBorders>
          </w:tcPr>
          <w:p w14:paraId="327D4798"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4</w:t>
            </w:r>
          </w:p>
        </w:tc>
        <w:tc>
          <w:tcPr>
            <w:tcW w:w="1064" w:type="dxa"/>
            <w:tcBorders>
              <w:top w:val="single" w:sz="12" w:space="0" w:color="auto"/>
              <w:left w:val="single" w:sz="12" w:space="0" w:color="auto"/>
              <w:bottom w:val="single" w:sz="12" w:space="0" w:color="auto"/>
              <w:right w:val="single" w:sz="12" w:space="0" w:color="auto"/>
            </w:tcBorders>
          </w:tcPr>
          <w:p w14:paraId="0B306F65"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50 ms</w:t>
            </w:r>
          </w:p>
        </w:tc>
        <w:tc>
          <w:tcPr>
            <w:tcW w:w="797" w:type="dxa"/>
            <w:tcBorders>
              <w:top w:val="single" w:sz="12" w:space="0" w:color="auto"/>
              <w:left w:val="single" w:sz="12" w:space="0" w:color="auto"/>
              <w:bottom w:val="single" w:sz="12" w:space="0" w:color="auto"/>
              <w:right w:val="single" w:sz="12" w:space="0" w:color="auto"/>
            </w:tcBorders>
          </w:tcPr>
          <w:p w14:paraId="5C2E375D"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10</w:t>
            </w:r>
            <w:r w:rsidRPr="00AB0878">
              <w:rPr>
                <w:rFonts w:ascii="Arial" w:hAnsi="Arial"/>
                <w:sz w:val="22"/>
                <w:vertAlign w:val="superscript"/>
                <w:lang w:eastAsia="en-GB"/>
              </w:rPr>
              <w:t>-2</w:t>
            </w:r>
          </w:p>
        </w:tc>
        <w:tc>
          <w:tcPr>
            <w:tcW w:w="1297" w:type="dxa"/>
            <w:tcBorders>
              <w:top w:val="single" w:sz="12" w:space="0" w:color="auto"/>
              <w:left w:val="single" w:sz="12" w:space="0" w:color="auto"/>
              <w:bottom w:val="single" w:sz="12" w:space="0" w:color="auto"/>
              <w:right w:val="single" w:sz="12" w:space="0" w:color="auto"/>
            </w:tcBorders>
          </w:tcPr>
          <w:p w14:paraId="740EDFC8"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N/A</w:t>
            </w:r>
          </w:p>
        </w:tc>
        <w:tc>
          <w:tcPr>
            <w:tcW w:w="1615" w:type="dxa"/>
            <w:tcBorders>
              <w:top w:val="single" w:sz="12" w:space="0" w:color="auto"/>
              <w:left w:val="single" w:sz="12" w:space="0" w:color="auto"/>
              <w:bottom w:val="single" w:sz="12" w:space="0" w:color="auto"/>
              <w:right w:val="single" w:sz="12" w:space="0" w:color="auto"/>
            </w:tcBorders>
          </w:tcPr>
          <w:p w14:paraId="79AC00E0"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2000 ms</w:t>
            </w:r>
          </w:p>
        </w:tc>
        <w:tc>
          <w:tcPr>
            <w:tcW w:w="2055" w:type="dxa"/>
            <w:tcBorders>
              <w:top w:val="single" w:sz="12" w:space="0" w:color="auto"/>
              <w:left w:val="single" w:sz="12" w:space="0" w:color="auto"/>
              <w:bottom w:val="single" w:sz="12" w:space="0" w:color="auto"/>
              <w:right w:val="single" w:sz="12" w:space="0" w:color="auto"/>
            </w:tcBorders>
          </w:tcPr>
          <w:p w14:paraId="56AA9014"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 xml:space="preserve">Sensor sharing – higher degree of automation </w:t>
            </w:r>
          </w:p>
        </w:tc>
      </w:tr>
      <w:tr w:rsidR="00AB0878" w:rsidRPr="00AB0878" w14:paraId="0EC7BEC9" w14:textId="77777777" w:rsidTr="006764D9">
        <w:tc>
          <w:tcPr>
            <w:tcW w:w="990" w:type="dxa"/>
            <w:tcBorders>
              <w:top w:val="single" w:sz="12" w:space="0" w:color="auto"/>
              <w:left w:val="single" w:sz="12" w:space="0" w:color="auto"/>
              <w:bottom w:val="single" w:sz="12" w:space="0" w:color="auto"/>
              <w:right w:val="single" w:sz="12" w:space="0" w:color="auto"/>
            </w:tcBorders>
          </w:tcPr>
          <w:p w14:paraId="3329B823"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23</w:t>
            </w:r>
          </w:p>
        </w:tc>
        <w:tc>
          <w:tcPr>
            <w:tcW w:w="1058" w:type="dxa"/>
            <w:tcBorders>
              <w:top w:val="nil"/>
              <w:left w:val="single" w:sz="12" w:space="0" w:color="auto"/>
              <w:bottom w:val="nil"/>
              <w:right w:val="single" w:sz="12" w:space="0" w:color="auto"/>
            </w:tcBorders>
          </w:tcPr>
          <w:p w14:paraId="6289D953"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tcBorders>
              <w:top w:val="single" w:sz="12" w:space="0" w:color="auto"/>
              <w:left w:val="single" w:sz="12" w:space="0" w:color="auto"/>
              <w:bottom w:val="single" w:sz="12" w:space="0" w:color="auto"/>
              <w:right w:val="single" w:sz="12" w:space="0" w:color="auto"/>
            </w:tcBorders>
          </w:tcPr>
          <w:p w14:paraId="5D633159"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3</w:t>
            </w:r>
          </w:p>
        </w:tc>
        <w:tc>
          <w:tcPr>
            <w:tcW w:w="1064" w:type="dxa"/>
            <w:tcBorders>
              <w:top w:val="single" w:sz="12" w:space="0" w:color="auto"/>
              <w:left w:val="single" w:sz="12" w:space="0" w:color="auto"/>
              <w:bottom w:val="single" w:sz="12" w:space="0" w:color="auto"/>
              <w:right w:val="single" w:sz="12" w:space="0" w:color="auto"/>
            </w:tcBorders>
          </w:tcPr>
          <w:p w14:paraId="41690843"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100 ms</w:t>
            </w:r>
          </w:p>
        </w:tc>
        <w:tc>
          <w:tcPr>
            <w:tcW w:w="797" w:type="dxa"/>
            <w:tcBorders>
              <w:top w:val="single" w:sz="12" w:space="0" w:color="auto"/>
              <w:left w:val="single" w:sz="12" w:space="0" w:color="auto"/>
              <w:bottom w:val="single" w:sz="12" w:space="0" w:color="auto"/>
              <w:right w:val="single" w:sz="12" w:space="0" w:color="auto"/>
            </w:tcBorders>
          </w:tcPr>
          <w:p w14:paraId="756EBF83"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10</w:t>
            </w:r>
            <w:r w:rsidRPr="00AB0878">
              <w:rPr>
                <w:rFonts w:ascii="Arial" w:hAnsi="Arial"/>
                <w:sz w:val="22"/>
                <w:vertAlign w:val="superscript"/>
                <w:lang w:eastAsia="en-GB"/>
              </w:rPr>
              <w:t>-4</w:t>
            </w:r>
          </w:p>
        </w:tc>
        <w:tc>
          <w:tcPr>
            <w:tcW w:w="1297" w:type="dxa"/>
            <w:tcBorders>
              <w:top w:val="single" w:sz="12" w:space="0" w:color="auto"/>
              <w:left w:val="single" w:sz="12" w:space="0" w:color="auto"/>
              <w:bottom w:val="single" w:sz="12" w:space="0" w:color="auto"/>
              <w:right w:val="single" w:sz="12" w:space="0" w:color="auto"/>
            </w:tcBorders>
          </w:tcPr>
          <w:p w14:paraId="34B6083D"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N/A</w:t>
            </w:r>
          </w:p>
        </w:tc>
        <w:tc>
          <w:tcPr>
            <w:tcW w:w="1615" w:type="dxa"/>
            <w:tcBorders>
              <w:top w:val="single" w:sz="12" w:space="0" w:color="auto"/>
              <w:left w:val="single" w:sz="12" w:space="0" w:color="auto"/>
              <w:bottom w:val="single" w:sz="12" w:space="0" w:color="auto"/>
              <w:right w:val="single" w:sz="12" w:space="0" w:color="auto"/>
            </w:tcBorders>
          </w:tcPr>
          <w:p w14:paraId="4666EB8B"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2000 ms</w:t>
            </w:r>
          </w:p>
        </w:tc>
        <w:tc>
          <w:tcPr>
            <w:tcW w:w="2055" w:type="dxa"/>
            <w:tcBorders>
              <w:top w:val="single" w:sz="12" w:space="0" w:color="auto"/>
              <w:left w:val="single" w:sz="12" w:space="0" w:color="auto"/>
              <w:bottom w:val="single" w:sz="12" w:space="0" w:color="auto"/>
              <w:right w:val="single" w:sz="12" w:space="0" w:color="auto"/>
            </w:tcBorders>
          </w:tcPr>
          <w:p w14:paraId="75671619"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Information sharing for automated driving – between UEs or UE and RSU - higher degree of automation</w:t>
            </w:r>
          </w:p>
        </w:tc>
      </w:tr>
      <w:tr w:rsidR="00AB0878" w:rsidRPr="00AB0878" w14:paraId="3D74F8A0" w14:textId="77777777" w:rsidTr="006764D9">
        <w:tc>
          <w:tcPr>
            <w:tcW w:w="990" w:type="dxa"/>
            <w:tcBorders>
              <w:top w:val="single" w:sz="12" w:space="0" w:color="auto"/>
              <w:left w:val="single" w:sz="12" w:space="0" w:color="auto"/>
              <w:bottom w:val="single" w:sz="12" w:space="0" w:color="auto"/>
              <w:right w:val="single" w:sz="12" w:space="0" w:color="auto"/>
            </w:tcBorders>
          </w:tcPr>
          <w:p w14:paraId="1FEEE8AF"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55</w:t>
            </w:r>
          </w:p>
        </w:tc>
        <w:tc>
          <w:tcPr>
            <w:tcW w:w="1058" w:type="dxa"/>
            <w:tcBorders>
              <w:top w:val="single" w:sz="12" w:space="0" w:color="auto"/>
              <w:left w:val="single" w:sz="12" w:space="0" w:color="auto"/>
              <w:bottom w:val="nil"/>
              <w:right w:val="single" w:sz="12" w:space="0" w:color="auto"/>
            </w:tcBorders>
          </w:tcPr>
          <w:p w14:paraId="2B6135E0"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Non-GBR</w:t>
            </w:r>
          </w:p>
        </w:tc>
        <w:tc>
          <w:tcPr>
            <w:tcW w:w="911" w:type="dxa"/>
            <w:tcBorders>
              <w:top w:val="single" w:sz="12" w:space="0" w:color="auto"/>
              <w:left w:val="single" w:sz="12" w:space="0" w:color="auto"/>
              <w:bottom w:val="single" w:sz="12" w:space="0" w:color="auto"/>
              <w:right w:val="single" w:sz="12" w:space="0" w:color="auto"/>
            </w:tcBorders>
          </w:tcPr>
          <w:p w14:paraId="4B5CA3F9"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3</w:t>
            </w:r>
          </w:p>
        </w:tc>
        <w:tc>
          <w:tcPr>
            <w:tcW w:w="1064" w:type="dxa"/>
            <w:tcBorders>
              <w:top w:val="single" w:sz="12" w:space="0" w:color="auto"/>
              <w:left w:val="single" w:sz="12" w:space="0" w:color="auto"/>
              <w:bottom w:val="single" w:sz="12" w:space="0" w:color="auto"/>
              <w:right w:val="single" w:sz="12" w:space="0" w:color="auto"/>
            </w:tcBorders>
          </w:tcPr>
          <w:p w14:paraId="3C0B59E1"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 xml:space="preserve">10 ms </w:t>
            </w:r>
          </w:p>
        </w:tc>
        <w:tc>
          <w:tcPr>
            <w:tcW w:w="797" w:type="dxa"/>
            <w:tcBorders>
              <w:top w:val="single" w:sz="12" w:space="0" w:color="auto"/>
              <w:left w:val="single" w:sz="12" w:space="0" w:color="auto"/>
              <w:bottom w:val="single" w:sz="12" w:space="0" w:color="auto"/>
              <w:right w:val="single" w:sz="12" w:space="0" w:color="auto"/>
            </w:tcBorders>
          </w:tcPr>
          <w:p w14:paraId="1A83DF16"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10</w:t>
            </w:r>
            <w:r w:rsidRPr="00AB0878">
              <w:rPr>
                <w:rFonts w:ascii="Arial" w:hAnsi="Arial"/>
                <w:sz w:val="22"/>
                <w:vertAlign w:val="superscript"/>
                <w:lang w:eastAsia="en-GB"/>
              </w:rPr>
              <w:t>-4</w:t>
            </w:r>
          </w:p>
        </w:tc>
        <w:tc>
          <w:tcPr>
            <w:tcW w:w="1297" w:type="dxa"/>
            <w:tcBorders>
              <w:top w:val="single" w:sz="12" w:space="0" w:color="auto"/>
              <w:left w:val="single" w:sz="12" w:space="0" w:color="auto"/>
              <w:bottom w:val="single" w:sz="12" w:space="0" w:color="auto"/>
              <w:right w:val="single" w:sz="12" w:space="0" w:color="auto"/>
            </w:tcBorders>
          </w:tcPr>
          <w:p w14:paraId="50121A5F"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N/A</w:t>
            </w:r>
          </w:p>
        </w:tc>
        <w:tc>
          <w:tcPr>
            <w:tcW w:w="1615" w:type="dxa"/>
            <w:tcBorders>
              <w:top w:val="single" w:sz="12" w:space="0" w:color="auto"/>
              <w:left w:val="single" w:sz="12" w:space="0" w:color="auto"/>
              <w:bottom w:val="single" w:sz="12" w:space="0" w:color="auto"/>
              <w:right w:val="single" w:sz="12" w:space="0" w:color="auto"/>
            </w:tcBorders>
          </w:tcPr>
          <w:p w14:paraId="618A7E02"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N/A</w:t>
            </w:r>
          </w:p>
        </w:tc>
        <w:tc>
          <w:tcPr>
            <w:tcW w:w="2055" w:type="dxa"/>
            <w:tcBorders>
              <w:top w:val="single" w:sz="12" w:space="0" w:color="auto"/>
              <w:left w:val="single" w:sz="12" w:space="0" w:color="auto"/>
              <w:bottom w:val="single" w:sz="12" w:space="0" w:color="auto"/>
              <w:right w:val="single" w:sz="12" w:space="0" w:color="auto"/>
            </w:tcBorders>
          </w:tcPr>
          <w:p w14:paraId="19110838"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Cooperative lane change – higher degree of automation</w:t>
            </w:r>
          </w:p>
        </w:tc>
      </w:tr>
      <w:tr w:rsidR="00AB0878" w:rsidRPr="00AB0878" w14:paraId="7D24DC1D" w14:textId="77777777" w:rsidTr="006764D9">
        <w:tc>
          <w:tcPr>
            <w:tcW w:w="990" w:type="dxa"/>
            <w:tcBorders>
              <w:top w:val="single" w:sz="12" w:space="0" w:color="auto"/>
              <w:left w:val="single" w:sz="12" w:space="0" w:color="auto"/>
              <w:bottom w:val="single" w:sz="12" w:space="0" w:color="auto"/>
              <w:right w:val="single" w:sz="12" w:space="0" w:color="auto"/>
            </w:tcBorders>
          </w:tcPr>
          <w:p w14:paraId="4B72F960"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56</w:t>
            </w:r>
          </w:p>
        </w:tc>
        <w:tc>
          <w:tcPr>
            <w:tcW w:w="1058" w:type="dxa"/>
            <w:tcBorders>
              <w:top w:val="nil"/>
              <w:left w:val="single" w:sz="12" w:space="0" w:color="auto"/>
              <w:bottom w:val="nil"/>
              <w:right w:val="single" w:sz="12" w:space="0" w:color="auto"/>
            </w:tcBorders>
          </w:tcPr>
          <w:p w14:paraId="14D5BD42"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tcBorders>
              <w:top w:val="single" w:sz="12" w:space="0" w:color="auto"/>
              <w:left w:val="single" w:sz="12" w:space="0" w:color="auto"/>
              <w:bottom w:val="single" w:sz="12" w:space="0" w:color="auto"/>
              <w:right w:val="single" w:sz="12" w:space="0" w:color="auto"/>
            </w:tcBorders>
          </w:tcPr>
          <w:p w14:paraId="66CA373C"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6</w:t>
            </w:r>
          </w:p>
        </w:tc>
        <w:tc>
          <w:tcPr>
            <w:tcW w:w="1064" w:type="dxa"/>
            <w:tcBorders>
              <w:top w:val="single" w:sz="12" w:space="0" w:color="auto"/>
              <w:left w:val="single" w:sz="12" w:space="0" w:color="auto"/>
              <w:bottom w:val="single" w:sz="12" w:space="0" w:color="auto"/>
              <w:right w:val="single" w:sz="12" w:space="0" w:color="auto"/>
            </w:tcBorders>
          </w:tcPr>
          <w:p w14:paraId="76B5E3B7"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20 ms</w:t>
            </w:r>
          </w:p>
        </w:tc>
        <w:tc>
          <w:tcPr>
            <w:tcW w:w="797" w:type="dxa"/>
            <w:tcBorders>
              <w:top w:val="single" w:sz="12" w:space="0" w:color="auto"/>
              <w:left w:val="single" w:sz="12" w:space="0" w:color="auto"/>
              <w:bottom w:val="single" w:sz="12" w:space="0" w:color="auto"/>
              <w:right w:val="single" w:sz="12" w:space="0" w:color="auto"/>
            </w:tcBorders>
          </w:tcPr>
          <w:p w14:paraId="3AEDEB67"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10</w:t>
            </w:r>
            <w:r w:rsidRPr="00AB0878">
              <w:rPr>
                <w:rFonts w:ascii="Arial" w:hAnsi="Arial"/>
                <w:sz w:val="22"/>
                <w:vertAlign w:val="superscript"/>
                <w:lang w:eastAsia="en-GB"/>
              </w:rPr>
              <w:t>-1</w:t>
            </w:r>
          </w:p>
        </w:tc>
        <w:tc>
          <w:tcPr>
            <w:tcW w:w="1297" w:type="dxa"/>
            <w:tcBorders>
              <w:top w:val="single" w:sz="12" w:space="0" w:color="auto"/>
              <w:left w:val="single" w:sz="12" w:space="0" w:color="auto"/>
              <w:bottom w:val="single" w:sz="12" w:space="0" w:color="auto"/>
              <w:right w:val="single" w:sz="12" w:space="0" w:color="auto"/>
            </w:tcBorders>
          </w:tcPr>
          <w:p w14:paraId="546C9513"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N/A</w:t>
            </w:r>
          </w:p>
        </w:tc>
        <w:tc>
          <w:tcPr>
            <w:tcW w:w="1615" w:type="dxa"/>
            <w:tcBorders>
              <w:top w:val="single" w:sz="12" w:space="0" w:color="auto"/>
              <w:left w:val="single" w:sz="12" w:space="0" w:color="auto"/>
              <w:bottom w:val="single" w:sz="12" w:space="0" w:color="auto"/>
              <w:right w:val="single" w:sz="12" w:space="0" w:color="auto"/>
            </w:tcBorders>
          </w:tcPr>
          <w:p w14:paraId="649FDEC1"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N/A</w:t>
            </w:r>
          </w:p>
        </w:tc>
        <w:tc>
          <w:tcPr>
            <w:tcW w:w="2055" w:type="dxa"/>
            <w:tcBorders>
              <w:top w:val="single" w:sz="12" w:space="0" w:color="auto"/>
              <w:left w:val="single" w:sz="12" w:space="0" w:color="auto"/>
              <w:bottom w:val="single" w:sz="12" w:space="0" w:color="auto"/>
              <w:right w:val="single" w:sz="12" w:space="0" w:color="auto"/>
            </w:tcBorders>
          </w:tcPr>
          <w:p w14:paraId="64317EAF"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Platooning informative exchange – low degree of automation;</w:t>
            </w:r>
          </w:p>
          <w:p w14:paraId="59D5E0FB"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 xml:space="preserve">Platooning – information sharing with RSU </w:t>
            </w:r>
          </w:p>
        </w:tc>
      </w:tr>
      <w:tr w:rsidR="00AB0878" w:rsidRPr="00AB0878" w14:paraId="23AB6427" w14:textId="77777777" w:rsidTr="006764D9">
        <w:tc>
          <w:tcPr>
            <w:tcW w:w="990" w:type="dxa"/>
            <w:tcBorders>
              <w:top w:val="single" w:sz="12" w:space="0" w:color="auto"/>
              <w:left w:val="single" w:sz="12" w:space="0" w:color="auto"/>
              <w:bottom w:val="single" w:sz="12" w:space="0" w:color="auto"/>
              <w:right w:val="single" w:sz="12" w:space="0" w:color="auto"/>
            </w:tcBorders>
          </w:tcPr>
          <w:p w14:paraId="0A1D4A10"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57</w:t>
            </w:r>
          </w:p>
        </w:tc>
        <w:tc>
          <w:tcPr>
            <w:tcW w:w="1058" w:type="dxa"/>
            <w:tcBorders>
              <w:top w:val="nil"/>
              <w:left w:val="single" w:sz="12" w:space="0" w:color="auto"/>
              <w:bottom w:val="nil"/>
              <w:right w:val="single" w:sz="12" w:space="0" w:color="auto"/>
            </w:tcBorders>
          </w:tcPr>
          <w:p w14:paraId="20AEEF4D"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tcBorders>
              <w:top w:val="single" w:sz="12" w:space="0" w:color="auto"/>
              <w:left w:val="single" w:sz="12" w:space="0" w:color="auto"/>
              <w:bottom w:val="single" w:sz="12" w:space="0" w:color="auto"/>
              <w:right w:val="single" w:sz="12" w:space="0" w:color="auto"/>
            </w:tcBorders>
          </w:tcPr>
          <w:p w14:paraId="721F2C3E"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5</w:t>
            </w:r>
          </w:p>
        </w:tc>
        <w:tc>
          <w:tcPr>
            <w:tcW w:w="1064" w:type="dxa"/>
            <w:tcBorders>
              <w:top w:val="single" w:sz="12" w:space="0" w:color="auto"/>
              <w:left w:val="single" w:sz="12" w:space="0" w:color="auto"/>
              <w:bottom w:val="single" w:sz="12" w:space="0" w:color="auto"/>
              <w:right w:val="single" w:sz="12" w:space="0" w:color="auto"/>
            </w:tcBorders>
          </w:tcPr>
          <w:p w14:paraId="30F14D78"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435D3AE"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10</w:t>
            </w:r>
            <w:r w:rsidRPr="00AB0878">
              <w:rPr>
                <w:rFonts w:ascii="Arial" w:hAnsi="Arial"/>
                <w:sz w:val="22"/>
                <w:vertAlign w:val="superscript"/>
                <w:lang w:eastAsia="en-GB"/>
              </w:rPr>
              <w:t>-1</w:t>
            </w:r>
          </w:p>
        </w:tc>
        <w:tc>
          <w:tcPr>
            <w:tcW w:w="1297" w:type="dxa"/>
            <w:tcBorders>
              <w:top w:val="single" w:sz="12" w:space="0" w:color="auto"/>
              <w:left w:val="single" w:sz="12" w:space="0" w:color="auto"/>
              <w:bottom w:val="single" w:sz="12" w:space="0" w:color="auto"/>
              <w:right w:val="single" w:sz="12" w:space="0" w:color="auto"/>
            </w:tcBorders>
          </w:tcPr>
          <w:p w14:paraId="100680F2"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N/A</w:t>
            </w:r>
          </w:p>
        </w:tc>
        <w:tc>
          <w:tcPr>
            <w:tcW w:w="1615" w:type="dxa"/>
            <w:tcBorders>
              <w:top w:val="single" w:sz="12" w:space="0" w:color="auto"/>
              <w:left w:val="single" w:sz="12" w:space="0" w:color="auto"/>
              <w:bottom w:val="single" w:sz="12" w:space="0" w:color="auto"/>
              <w:right w:val="single" w:sz="12" w:space="0" w:color="auto"/>
            </w:tcBorders>
          </w:tcPr>
          <w:p w14:paraId="648D895F"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N/A</w:t>
            </w:r>
          </w:p>
        </w:tc>
        <w:tc>
          <w:tcPr>
            <w:tcW w:w="2055" w:type="dxa"/>
            <w:tcBorders>
              <w:top w:val="single" w:sz="12" w:space="0" w:color="auto"/>
              <w:left w:val="single" w:sz="12" w:space="0" w:color="auto"/>
              <w:bottom w:val="single" w:sz="12" w:space="0" w:color="auto"/>
              <w:right w:val="single" w:sz="12" w:space="0" w:color="auto"/>
            </w:tcBorders>
          </w:tcPr>
          <w:p w14:paraId="24DBE9F7"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 xml:space="preserve">Cooperative lane change – lower degree of automation </w:t>
            </w:r>
          </w:p>
        </w:tc>
      </w:tr>
      <w:tr w:rsidR="00AB0878" w:rsidRPr="00AB0878" w14:paraId="60B179A2" w14:textId="77777777" w:rsidTr="006764D9">
        <w:tc>
          <w:tcPr>
            <w:tcW w:w="990" w:type="dxa"/>
            <w:tcBorders>
              <w:top w:val="single" w:sz="12" w:space="0" w:color="auto"/>
              <w:left w:val="single" w:sz="12" w:space="0" w:color="auto"/>
              <w:bottom w:val="single" w:sz="12" w:space="0" w:color="auto"/>
              <w:right w:val="single" w:sz="12" w:space="0" w:color="auto"/>
            </w:tcBorders>
          </w:tcPr>
          <w:p w14:paraId="012DE139"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58</w:t>
            </w:r>
          </w:p>
        </w:tc>
        <w:tc>
          <w:tcPr>
            <w:tcW w:w="1058" w:type="dxa"/>
            <w:tcBorders>
              <w:top w:val="nil"/>
              <w:left w:val="single" w:sz="12" w:space="0" w:color="auto"/>
              <w:bottom w:val="nil"/>
              <w:right w:val="single" w:sz="12" w:space="0" w:color="auto"/>
            </w:tcBorders>
          </w:tcPr>
          <w:p w14:paraId="5825EBE5"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tcBorders>
              <w:top w:val="single" w:sz="12" w:space="0" w:color="auto"/>
              <w:left w:val="single" w:sz="12" w:space="0" w:color="auto"/>
              <w:bottom w:val="single" w:sz="12" w:space="0" w:color="auto"/>
              <w:right w:val="single" w:sz="12" w:space="0" w:color="auto"/>
            </w:tcBorders>
          </w:tcPr>
          <w:p w14:paraId="41D7A621"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4</w:t>
            </w:r>
          </w:p>
        </w:tc>
        <w:tc>
          <w:tcPr>
            <w:tcW w:w="1064" w:type="dxa"/>
            <w:tcBorders>
              <w:top w:val="single" w:sz="12" w:space="0" w:color="auto"/>
              <w:left w:val="single" w:sz="12" w:space="0" w:color="auto"/>
              <w:bottom w:val="single" w:sz="12" w:space="0" w:color="auto"/>
              <w:right w:val="single" w:sz="12" w:space="0" w:color="auto"/>
            </w:tcBorders>
          </w:tcPr>
          <w:p w14:paraId="090D218C"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100 ms</w:t>
            </w:r>
          </w:p>
        </w:tc>
        <w:tc>
          <w:tcPr>
            <w:tcW w:w="797" w:type="dxa"/>
            <w:tcBorders>
              <w:top w:val="single" w:sz="12" w:space="0" w:color="auto"/>
              <w:left w:val="single" w:sz="12" w:space="0" w:color="auto"/>
              <w:bottom w:val="single" w:sz="12" w:space="0" w:color="auto"/>
              <w:right w:val="single" w:sz="12" w:space="0" w:color="auto"/>
            </w:tcBorders>
          </w:tcPr>
          <w:p w14:paraId="57CCBE5E"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10</w:t>
            </w:r>
            <w:r w:rsidRPr="00AB0878">
              <w:rPr>
                <w:rFonts w:ascii="Arial" w:hAnsi="Arial"/>
                <w:sz w:val="22"/>
                <w:vertAlign w:val="superscript"/>
                <w:lang w:eastAsia="en-GB"/>
              </w:rPr>
              <w:t>-2</w:t>
            </w:r>
          </w:p>
        </w:tc>
        <w:tc>
          <w:tcPr>
            <w:tcW w:w="1297" w:type="dxa"/>
            <w:tcBorders>
              <w:top w:val="single" w:sz="12" w:space="0" w:color="auto"/>
              <w:left w:val="single" w:sz="12" w:space="0" w:color="auto"/>
              <w:bottom w:val="single" w:sz="12" w:space="0" w:color="auto"/>
              <w:right w:val="single" w:sz="12" w:space="0" w:color="auto"/>
            </w:tcBorders>
          </w:tcPr>
          <w:p w14:paraId="64AFF310"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N/A</w:t>
            </w:r>
          </w:p>
        </w:tc>
        <w:tc>
          <w:tcPr>
            <w:tcW w:w="1615" w:type="dxa"/>
            <w:tcBorders>
              <w:top w:val="single" w:sz="12" w:space="0" w:color="auto"/>
              <w:left w:val="single" w:sz="12" w:space="0" w:color="auto"/>
              <w:bottom w:val="single" w:sz="12" w:space="0" w:color="auto"/>
              <w:right w:val="single" w:sz="12" w:space="0" w:color="auto"/>
            </w:tcBorders>
          </w:tcPr>
          <w:p w14:paraId="4D0CA1A0"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N/A</w:t>
            </w:r>
          </w:p>
        </w:tc>
        <w:tc>
          <w:tcPr>
            <w:tcW w:w="2055" w:type="dxa"/>
            <w:tcBorders>
              <w:top w:val="single" w:sz="12" w:space="0" w:color="auto"/>
              <w:left w:val="single" w:sz="12" w:space="0" w:color="auto"/>
              <w:bottom w:val="single" w:sz="12" w:space="0" w:color="auto"/>
              <w:right w:val="single" w:sz="12" w:space="0" w:color="auto"/>
            </w:tcBorders>
          </w:tcPr>
          <w:p w14:paraId="78A157C8"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Sensor information sharing – lower degree of automation</w:t>
            </w:r>
          </w:p>
        </w:tc>
      </w:tr>
      <w:tr w:rsidR="00AB0878" w:rsidRPr="00AB0878" w14:paraId="4125FCB8" w14:textId="77777777" w:rsidTr="006764D9">
        <w:tc>
          <w:tcPr>
            <w:tcW w:w="990" w:type="dxa"/>
            <w:tcBorders>
              <w:top w:val="single" w:sz="12" w:space="0" w:color="auto"/>
              <w:left w:val="single" w:sz="12" w:space="0" w:color="auto"/>
              <w:bottom w:val="single" w:sz="12" w:space="0" w:color="auto"/>
              <w:right w:val="single" w:sz="12" w:space="0" w:color="auto"/>
            </w:tcBorders>
          </w:tcPr>
          <w:p w14:paraId="13941DF0"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59</w:t>
            </w:r>
          </w:p>
        </w:tc>
        <w:tc>
          <w:tcPr>
            <w:tcW w:w="1058" w:type="dxa"/>
            <w:tcBorders>
              <w:top w:val="nil"/>
              <w:left w:val="single" w:sz="12" w:space="0" w:color="auto"/>
              <w:bottom w:val="nil"/>
              <w:right w:val="single" w:sz="12" w:space="0" w:color="auto"/>
            </w:tcBorders>
          </w:tcPr>
          <w:p w14:paraId="344D2ABF"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p>
        </w:tc>
        <w:tc>
          <w:tcPr>
            <w:tcW w:w="911" w:type="dxa"/>
            <w:tcBorders>
              <w:top w:val="single" w:sz="12" w:space="0" w:color="auto"/>
              <w:left w:val="single" w:sz="12" w:space="0" w:color="auto"/>
              <w:bottom w:val="single" w:sz="12" w:space="0" w:color="auto"/>
              <w:right w:val="single" w:sz="12" w:space="0" w:color="auto"/>
            </w:tcBorders>
          </w:tcPr>
          <w:p w14:paraId="0F6DC1D3"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6</w:t>
            </w:r>
          </w:p>
        </w:tc>
        <w:tc>
          <w:tcPr>
            <w:tcW w:w="1064" w:type="dxa"/>
            <w:tcBorders>
              <w:top w:val="single" w:sz="12" w:space="0" w:color="auto"/>
              <w:left w:val="single" w:sz="12" w:space="0" w:color="auto"/>
              <w:bottom w:val="single" w:sz="12" w:space="0" w:color="auto"/>
              <w:right w:val="single" w:sz="12" w:space="0" w:color="auto"/>
            </w:tcBorders>
          </w:tcPr>
          <w:p w14:paraId="00B1665E"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500 ms</w:t>
            </w:r>
          </w:p>
        </w:tc>
        <w:tc>
          <w:tcPr>
            <w:tcW w:w="797" w:type="dxa"/>
            <w:tcBorders>
              <w:top w:val="single" w:sz="12" w:space="0" w:color="auto"/>
              <w:left w:val="single" w:sz="12" w:space="0" w:color="auto"/>
              <w:bottom w:val="single" w:sz="12" w:space="0" w:color="auto"/>
              <w:right w:val="single" w:sz="12" w:space="0" w:color="auto"/>
            </w:tcBorders>
          </w:tcPr>
          <w:p w14:paraId="30B0C5CB"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10</w:t>
            </w:r>
            <w:r w:rsidRPr="00AB0878">
              <w:rPr>
                <w:rFonts w:ascii="Arial" w:hAnsi="Arial"/>
                <w:sz w:val="22"/>
                <w:vertAlign w:val="superscript"/>
                <w:lang w:eastAsia="en-GB"/>
              </w:rPr>
              <w:t>-1</w:t>
            </w:r>
          </w:p>
        </w:tc>
        <w:tc>
          <w:tcPr>
            <w:tcW w:w="1297" w:type="dxa"/>
            <w:tcBorders>
              <w:top w:val="single" w:sz="12" w:space="0" w:color="auto"/>
              <w:left w:val="single" w:sz="12" w:space="0" w:color="auto"/>
              <w:bottom w:val="single" w:sz="12" w:space="0" w:color="auto"/>
              <w:right w:val="single" w:sz="12" w:space="0" w:color="auto"/>
            </w:tcBorders>
          </w:tcPr>
          <w:p w14:paraId="08A0C595"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N/A</w:t>
            </w:r>
          </w:p>
        </w:tc>
        <w:tc>
          <w:tcPr>
            <w:tcW w:w="1615" w:type="dxa"/>
            <w:tcBorders>
              <w:top w:val="single" w:sz="12" w:space="0" w:color="auto"/>
              <w:left w:val="single" w:sz="12" w:space="0" w:color="auto"/>
              <w:bottom w:val="single" w:sz="12" w:space="0" w:color="auto"/>
              <w:right w:val="single" w:sz="12" w:space="0" w:color="auto"/>
            </w:tcBorders>
          </w:tcPr>
          <w:p w14:paraId="1AC89306"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N/A</w:t>
            </w:r>
          </w:p>
        </w:tc>
        <w:tc>
          <w:tcPr>
            <w:tcW w:w="2055" w:type="dxa"/>
            <w:tcBorders>
              <w:top w:val="single" w:sz="12" w:space="0" w:color="auto"/>
              <w:left w:val="single" w:sz="12" w:space="0" w:color="auto"/>
              <w:bottom w:val="single" w:sz="12" w:space="0" w:color="auto"/>
              <w:right w:val="single" w:sz="12" w:space="0" w:color="auto"/>
            </w:tcBorders>
          </w:tcPr>
          <w:p w14:paraId="1BBD1D9E"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Platooning – reporting to an RSU</w:t>
            </w:r>
          </w:p>
        </w:tc>
      </w:tr>
      <w:tr w:rsidR="00AB0878" w:rsidRPr="00AB0878" w14:paraId="595B1E3D" w14:textId="77777777" w:rsidTr="006764D9">
        <w:tc>
          <w:tcPr>
            <w:tcW w:w="990" w:type="dxa"/>
            <w:tcBorders>
              <w:top w:val="single" w:sz="12" w:space="0" w:color="auto"/>
              <w:left w:val="single" w:sz="12" w:space="0" w:color="auto"/>
              <w:bottom w:val="single" w:sz="12" w:space="0" w:color="auto"/>
              <w:right w:val="single" w:sz="12" w:space="0" w:color="auto"/>
            </w:tcBorders>
          </w:tcPr>
          <w:p w14:paraId="695CF785"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90</w:t>
            </w:r>
          </w:p>
        </w:tc>
        <w:tc>
          <w:tcPr>
            <w:tcW w:w="1058" w:type="dxa"/>
            <w:tcBorders>
              <w:top w:val="single" w:sz="12" w:space="0" w:color="auto"/>
              <w:left w:val="single" w:sz="12" w:space="0" w:color="auto"/>
              <w:bottom w:val="nil"/>
              <w:right w:val="single" w:sz="12" w:space="0" w:color="auto"/>
            </w:tcBorders>
          </w:tcPr>
          <w:p w14:paraId="2E909537"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Delay Critical GBR</w:t>
            </w:r>
          </w:p>
        </w:tc>
        <w:tc>
          <w:tcPr>
            <w:tcW w:w="911" w:type="dxa"/>
            <w:tcBorders>
              <w:top w:val="single" w:sz="12" w:space="0" w:color="auto"/>
              <w:left w:val="single" w:sz="12" w:space="0" w:color="auto"/>
              <w:bottom w:val="single" w:sz="12" w:space="0" w:color="auto"/>
              <w:right w:val="single" w:sz="12" w:space="0" w:color="auto"/>
            </w:tcBorders>
          </w:tcPr>
          <w:p w14:paraId="7BB92808"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 xml:space="preserve">3 </w:t>
            </w:r>
          </w:p>
        </w:tc>
        <w:tc>
          <w:tcPr>
            <w:tcW w:w="1064" w:type="dxa"/>
            <w:tcBorders>
              <w:top w:val="single" w:sz="12" w:space="0" w:color="auto"/>
              <w:left w:val="single" w:sz="12" w:space="0" w:color="auto"/>
              <w:bottom w:val="single" w:sz="12" w:space="0" w:color="auto"/>
              <w:right w:val="single" w:sz="12" w:space="0" w:color="auto"/>
            </w:tcBorders>
          </w:tcPr>
          <w:p w14:paraId="0941BEEF"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10 ms</w:t>
            </w:r>
            <w:r w:rsidRPr="00AB0878">
              <w:rPr>
                <w:rFonts w:ascii="Arial" w:hAnsi="Arial"/>
                <w:sz w:val="18"/>
                <w:lang w:eastAsia="en-GB"/>
              </w:rPr>
              <w:br/>
            </w:r>
          </w:p>
        </w:tc>
        <w:tc>
          <w:tcPr>
            <w:tcW w:w="797" w:type="dxa"/>
            <w:tcBorders>
              <w:top w:val="single" w:sz="12" w:space="0" w:color="auto"/>
              <w:left w:val="single" w:sz="12" w:space="0" w:color="auto"/>
              <w:bottom w:val="single" w:sz="12" w:space="0" w:color="auto"/>
              <w:right w:val="single" w:sz="12" w:space="0" w:color="auto"/>
            </w:tcBorders>
          </w:tcPr>
          <w:p w14:paraId="3A468C66"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10</w:t>
            </w:r>
            <w:r w:rsidRPr="00AB0878">
              <w:rPr>
                <w:rFonts w:ascii="Arial" w:hAnsi="Arial"/>
                <w:sz w:val="22"/>
                <w:vertAlign w:val="superscript"/>
                <w:lang w:eastAsia="en-GB"/>
              </w:rPr>
              <w:t>-4</w:t>
            </w:r>
          </w:p>
        </w:tc>
        <w:tc>
          <w:tcPr>
            <w:tcW w:w="1297" w:type="dxa"/>
            <w:tcBorders>
              <w:top w:val="single" w:sz="12" w:space="0" w:color="auto"/>
              <w:left w:val="single" w:sz="12" w:space="0" w:color="auto"/>
              <w:bottom w:val="single" w:sz="12" w:space="0" w:color="auto"/>
              <w:right w:val="single" w:sz="12" w:space="0" w:color="auto"/>
            </w:tcBorders>
          </w:tcPr>
          <w:p w14:paraId="3F84FA06"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2000 bytes</w:t>
            </w:r>
          </w:p>
        </w:tc>
        <w:tc>
          <w:tcPr>
            <w:tcW w:w="1615" w:type="dxa"/>
            <w:tcBorders>
              <w:top w:val="single" w:sz="12" w:space="0" w:color="auto"/>
              <w:left w:val="single" w:sz="12" w:space="0" w:color="auto"/>
              <w:bottom w:val="single" w:sz="12" w:space="0" w:color="auto"/>
              <w:right w:val="single" w:sz="12" w:space="0" w:color="auto"/>
            </w:tcBorders>
          </w:tcPr>
          <w:p w14:paraId="6B789144"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2000 ms</w:t>
            </w:r>
          </w:p>
        </w:tc>
        <w:tc>
          <w:tcPr>
            <w:tcW w:w="2055" w:type="dxa"/>
            <w:tcBorders>
              <w:top w:val="single" w:sz="12" w:space="0" w:color="auto"/>
              <w:left w:val="single" w:sz="12" w:space="0" w:color="auto"/>
              <w:bottom w:val="single" w:sz="12" w:space="0" w:color="auto"/>
              <w:right w:val="single" w:sz="12" w:space="0" w:color="auto"/>
            </w:tcBorders>
          </w:tcPr>
          <w:p w14:paraId="0B69DCC9"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Cooperative collision avoidance;</w:t>
            </w:r>
          </w:p>
          <w:p w14:paraId="7747C0E4"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Sensor sharing – Higher degree of automation;</w:t>
            </w:r>
          </w:p>
          <w:p w14:paraId="16BFDBAC"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Video sharing – higher degree of automation</w:t>
            </w:r>
          </w:p>
        </w:tc>
      </w:tr>
      <w:tr w:rsidR="00AB0878" w:rsidRPr="00AB0878" w14:paraId="1585175A" w14:textId="77777777" w:rsidTr="006764D9">
        <w:tc>
          <w:tcPr>
            <w:tcW w:w="990" w:type="dxa"/>
            <w:tcBorders>
              <w:top w:val="single" w:sz="12" w:space="0" w:color="auto"/>
              <w:left w:val="single" w:sz="12" w:space="0" w:color="auto"/>
              <w:bottom w:val="single" w:sz="12" w:space="0" w:color="auto"/>
              <w:right w:val="single" w:sz="12" w:space="0" w:color="auto"/>
            </w:tcBorders>
          </w:tcPr>
          <w:p w14:paraId="17A3F250"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91</w:t>
            </w:r>
          </w:p>
        </w:tc>
        <w:tc>
          <w:tcPr>
            <w:tcW w:w="1058" w:type="dxa"/>
            <w:tcBorders>
              <w:top w:val="nil"/>
              <w:left w:val="single" w:sz="12" w:space="0" w:color="auto"/>
              <w:bottom w:val="nil"/>
              <w:right w:val="single" w:sz="12" w:space="0" w:color="auto"/>
            </w:tcBorders>
          </w:tcPr>
          <w:p w14:paraId="0793ACF9"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(NOTE 1)</w:t>
            </w:r>
          </w:p>
        </w:tc>
        <w:tc>
          <w:tcPr>
            <w:tcW w:w="911" w:type="dxa"/>
            <w:tcBorders>
              <w:top w:val="single" w:sz="12" w:space="0" w:color="auto"/>
              <w:left w:val="single" w:sz="12" w:space="0" w:color="auto"/>
              <w:bottom w:val="single" w:sz="12" w:space="0" w:color="auto"/>
              <w:right w:val="single" w:sz="12" w:space="0" w:color="auto"/>
            </w:tcBorders>
          </w:tcPr>
          <w:p w14:paraId="475F91FE"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2</w:t>
            </w:r>
          </w:p>
        </w:tc>
        <w:tc>
          <w:tcPr>
            <w:tcW w:w="1064" w:type="dxa"/>
            <w:tcBorders>
              <w:top w:val="single" w:sz="12" w:space="0" w:color="auto"/>
              <w:left w:val="single" w:sz="12" w:space="0" w:color="auto"/>
              <w:bottom w:val="single" w:sz="12" w:space="0" w:color="auto"/>
              <w:right w:val="single" w:sz="12" w:space="0" w:color="auto"/>
            </w:tcBorders>
          </w:tcPr>
          <w:p w14:paraId="38708654"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3 ms</w:t>
            </w:r>
          </w:p>
        </w:tc>
        <w:tc>
          <w:tcPr>
            <w:tcW w:w="797" w:type="dxa"/>
            <w:tcBorders>
              <w:top w:val="single" w:sz="12" w:space="0" w:color="auto"/>
              <w:left w:val="single" w:sz="12" w:space="0" w:color="auto"/>
              <w:bottom w:val="single" w:sz="12" w:space="0" w:color="auto"/>
              <w:right w:val="single" w:sz="12" w:space="0" w:color="auto"/>
            </w:tcBorders>
          </w:tcPr>
          <w:p w14:paraId="4FDE222D" w14:textId="77777777" w:rsidR="00AB0878" w:rsidRPr="00AB0878" w:rsidRDefault="00AB0878" w:rsidP="00AB0878">
            <w:pPr>
              <w:keepNext/>
              <w:keepLines/>
              <w:overflowPunct w:val="0"/>
              <w:autoSpaceDE w:val="0"/>
              <w:autoSpaceDN w:val="0"/>
              <w:adjustRightInd w:val="0"/>
              <w:spacing w:after="0"/>
              <w:jc w:val="center"/>
              <w:textAlignment w:val="baseline"/>
              <w:rPr>
                <w:rFonts w:ascii="Arial" w:hAnsi="Arial"/>
                <w:sz w:val="18"/>
                <w:lang w:eastAsia="en-GB"/>
              </w:rPr>
            </w:pPr>
            <w:r w:rsidRPr="00AB0878">
              <w:rPr>
                <w:rFonts w:ascii="Arial" w:hAnsi="Arial"/>
                <w:sz w:val="18"/>
                <w:lang w:eastAsia="en-GB"/>
              </w:rPr>
              <w:t>10</w:t>
            </w:r>
            <w:r w:rsidRPr="00AB0878">
              <w:rPr>
                <w:rFonts w:ascii="Arial" w:hAnsi="Arial"/>
                <w:sz w:val="22"/>
                <w:vertAlign w:val="superscript"/>
                <w:lang w:eastAsia="en-GB"/>
              </w:rPr>
              <w:t>-5</w:t>
            </w:r>
          </w:p>
        </w:tc>
        <w:tc>
          <w:tcPr>
            <w:tcW w:w="1297" w:type="dxa"/>
            <w:tcBorders>
              <w:top w:val="single" w:sz="12" w:space="0" w:color="auto"/>
              <w:left w:val="single" w:sz="12" w:space="0" w:color="auto"/>
              <w:bottom w:val="single" w:sz="12" w:space="0" w:color="auto"/>
              <w:right w:val="single" w:sz="12" w:space="0" w:color="auto"/>
            </w:tcBorders>
          </w:tcPr>
          <w:p w14:paraId="17D1F423"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2000 bytes</w:t>
            </w:r>
          </w:p>
        </w:tc>
        <w:tc>
          <w:tcPr>
            <w:tcW w:w="1615" w:type="dxa"/>
            <w:tcBorders>
              <w:top w:val="single" w:sz="12" w:space="0" w:color="auto"/>
              <w:left w:val="single" w:sz="12" w:space="0" w:color="auto"/>
              <w:bottom w:val="single" w:sz="12" w:space="0" w:color="auto"/>
              <w:right w:val="single" w:sz="12" w:space="0" w:color="auto"/>
            </w:tcBorders>
          </w:tcPr>
          <w:p w14:paraId="6C8FA9BF"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2000 ms</w:t>
            </w:r>
          </w:p>
        </w:tc>
        <w:tc>
          <w:tcPr>
            <w:tcW w:w="2055" w:type="dxa"/>
            <w:tcBorders>
              <w:top w:val="single" w:sz="12" w:space="0" w:color="auto"/>
              <w:left w:val="single" w:sz="12" w:space="0" w:color="auto"/>
              <w:bottom w:val="single" w:sz="12" w:space="0" w:color="auto"/>
              <w:right w:val="single" w:sz="12" w:space="0" w:color="auto"/>
            </w:tcBorders>
          </w:tcPr>
          <w:p w14:paraId="5E6FE5B8"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Emergency trajectory alignment;</w:t>
            </w:r>
          </w:p>
          <w:p w14:paraId="05CC9BE3" w14:textId="77777777" w:rsidR="00AB0878" w:rsidRPr="00AB0878" w:rsidRDefault="00AB0878" w:rsidP="00AB0878">
            <w:pPr>
              <w:keepNext/>
              <w:keepLines/>
              <w:overflowPunct w:val="0"/>
              <w:autoSpaceDE w:val="0"/>
              <w:autoSpaceDN w:val="0"/>
              <w:adjustRightInd w:val="0"/>
              <w:spacing w:after="0"/>
              <w:textAlignment w:val="baseline"/>
              <w:rPr>
                <w:rFonts w:ascii="Arial" w:hAnsi="Arial"/>
                <w:sz w:val="18"/>
                <w:lang w:eastAsia="en-GB"/>
              </w:rPr>
            </w:pPr>
            <w:r w:rsidRPr="00AB0878">
              <w:rPr>
                <w:rFonts w:ascii="Arial" w:hAnsi="Arial"/>
                <w:sz w:val="18"/>
                <w:lang w:eastAsia="en-GB"/>
              </w:rPr>
              <w:t>Sensor sharing – Higher degree of automation</w:t>
            </w:r>
          </w:p>
        </w:tc>
      </w:tr>
      <w:tr w:rsidR="00AB0878" w:rsidRPr="00AB0878" w14:paraId="2A728327" w14:textId="77777777" w:rsidTr="006764D9">
        <w:tc>
          <w:tcPr>
            <w:tcW w:w="9787" w:type="dxa"/>
            <w:gridSpan w:val="8"/>
            <w:tcBorders>
              <w:top w:val="single" w:sz="12" w:space="0" w:color="auto"/>
              <w:left w:val="single" w:sz="12" w:space="0" w:color="auto"/>
              <w:bottom w:val="single" w:sz="12" w:space="0" w:color="auto"/>
              <w:right w:val="single" w:sz="12" w:space="0" w:color="auto"/>
            </w:tcBorders>
          </w:tcPr>
          <w:p w14:paraId="2DDDA0E7" w14:textId="77777777" w:rsidR="00AB0878" w:rsidRPr="00AB0878" w:rsidRDefault="00AB0878" w:rsidP="00AB0878">
            <w:pPr>
              <w:keepNext/>
              <w:keepLines/>
              <w:overflowPunct w:val="0"/>
              <w:autoSpaceDE w:val="0"/>
              <w:autoSpaceDN w:val="0"/>
              <w:adjustRightInd w:val="0"/>
              <w:spacing w:after="0"/>
              <w:ind w:left="851" w:hanging="851"/>
              <w:textAlignment w:val="baseline"/>
              <w:rPr>
                <w:rFonts w:ascii="Arial" w:hAnsi="Arial"/>
                <w:sz w:val="18"/>
                <w:lang w:eastAsia="en-GB"/>
              </w:rPr>
            </w:pPr>
            <w:r w:rsidRPr="00AB0878">
              <w:rPr>
                <w:rFonts w:ascii="Arial" w:hAnsi="Arial"/>
                <w:sz w:val="18"/>
                <w:lang w:eastAsia="en-GB"/>
              </w:rPr>
              <w:t>NOTE 1:</w:t>
            </w:r>
            <w:r w:rsidRPr="00AB0878">
              <w:rPr>
                <w:rFonts w:ascii="Arial" w:hAnsi="Arial"/>
                <w:sz w:val="18"/>
                <w:lang w:eastAsia="en-GB"/>
              </w:rPr>
              <w:tab/>
              <w:t>GBR and Delay Critical GBR PQIs can only be used for unicast PC5 communications.</w:t>
            </w:r>
          </w:p>
        </w:tc>
      </w:tr>
    </w:tbl>
    <w:p w14:paraId="44EC60CB" w14:textId="77777777" w:rsidR="00AB0878" w:rsidRPr="00166A0C" w:rsidRDefault="00AB0878" w:rsidP="00421837">
      <w:pPr>
        <w:rPr>
          <w:b/>
          <w:bCs/>
        </w:rPr>
      </w:pPr>
    </w:p>
    <w:p w14:paraId="6327A5E6" w14:textId="7B3AE98D" w:rsidR="009339CB" w:rsidRPr="00A30E86" w:rsidRDefault="009339CB" w:rsidP="009339CB">
      <w:pPr>
        <w:pStyle w:val="Heading2"/>
      </w:pPr>
      <w:r w:rsidRPr="00A30E86">
        <w:t>2.2</w:t>
      </w:r>
      <w:r w:rsidRPr="00A30E86">
        <w:tab/>
      </w:r>
      <w:r w:rsidR="00FC1292">
        <w:t>Resource Pools for BRID and DAA</w:t>
      </w:r>
    </w:p>
    <w:p w14:paraId="1BC82ECA" w14:textId="19818F91" w:rsidR="009339CB" w:rsidRDefault="000C29DC" w:rsidP="00AD7281">
      <w:pPr>
        <w:jc w:val="both"/>
      </w:pPr>
      <w:r>
        <w:t xml:space="preserve">One of the open points noted during RAN2#121bis </w:t>
      </w:r>
      <w:r>
        <w:fldChar w:fldCharType="begin"/>
      </w:r>
      <w:r>
        <w:instrText xml:space="preserve"> REF _Ref134198904 \r \h </w:instrText>
      </w:r>
      <w:r w:rsidR="00AD7281">
        <w:instrText xml:space="preserve"> \* MERGEFORMAT </w:instrText>
      </w:r>
      <w:r>
        <w:fldChar w:fldCharType="separate"/>
      </w:r>
      <w:r>
        <w:t>[1]</w:t>
      </w:r>
      <w:r>
        <w:fldChar w:fldCharType="end"/>
      </w:r>
      <w:r>
        <w:t xml:space="preserve"> </w:t>
      </w:r>
      <w:r w:rsidR="002A57E4">
        <w:t>wa</w:t>
      </w:r>
      <w:r>
        <w:t xml:space="preserve">s whether separate </w:t>
      </w:r>
      <w:r w:rsidR="002A57E4">
        <w:t>resource pools are needed for UAVs:</w:t>
      </w:r>
    </w:p>
    <w:tbl>
      <w:tblPr>
        <w:tblStyle w:val="TableGrid"/>
        <w:tblW w:w="0" w:type="auto"/>
        <w:tblLook w:val="04A0" w:firstRow="1" w:lastRow="0" w:firstColumn="1" w:lastColumn="0" w:noHBand="0" w:noVBand="1"/>
      </w:tblPr>
      <w:tblGrid>
        <w:gridCol w:w="9631"/>
      </w:tblGrid>
      <w:tr w:rsidR="002A57E4" w14:paraId="411CE6DF" w14:textId="77777777" w:rsidTr="002A57E4">
        <w:tc>
          <w:tcPr>
            <w:tcW w:w="9631" w:type="dxa"/>
          </w:tcPr>
          <w:p w14:paraId="075ACAA6" w14:textId="58DC5FD5" w:rsidR="002A57E4" w:rsidRDefault="002A57E4" w:rsidP="00AD7281">
            <w:pPr>
              <w:jc w:val="both"/>
            </w:pPr>
            <w:r>
              <w:t>FFS whether different resource pools are needed for UAV services</w:t>
            </w:r>
          </w:p>
        </w:tc>
      </w:tr>
    </w:tbl>
    <w:p w14:paraId="3E4E53D8" w14:textId="7A8640DA" w:rsidR="00480088" w:rsidRDefault="002A57E4" w:rsidP="00AD7281">
      <w:pPr>
        <w:jc w:val="both"/>
      </w:pPr>
      <w:r>
        <w:br/>
      </w:r>
      <w:r w:rsidR="00FB32DA">
        <w:t xml:space="preserve">For NR PC5 resource pools are configured within BWP-specific configuration. For NR PC5 Mode 2 the following parameter would apply: </w:t>
      </w:r>
      <w:r w:rsidR="00FB32DA" w:rsidRPr="00FB32DA">
        <w:rPr>
          <w:i/>
          <w:iCs/>
        </w:rPr>
        <w:t>sl-TxPoolSelectedNormal-r16</w:t>
      </w:r>
      <w:r w:rsidR="00FB32DA">
        <w:t xml:space="preserve">. There can be up to </w:t>
      </w:r>
      <w:r w:rsidR="00392BE9" w:rsidRPr="00392BE9">
        <w:rPr>
          <w:i/>
          <w:iCs/>
        </w:rPr>
        <w:t>maxNrofTXPool-r16</w:t>
      </w:r>
      <w:r w:rsidR="00392BE9">
        <w:t xml:space="preserve"> </w:t>
      </w:r>
      <w:r w:rsidR="00126180">
        <w:t xml:space="preserve">of </w:t>
      </w:r>
      <w:r w:rsidR="00392BE9">
        <w:t>such pools configured per BWP and the maximum value defined in NR RRC is 8</w:t>
      </w:r>
      <w:r w:rsidR="00BB42D9">
        <w:t>. Related ASN.1 excerpt is provided below:</w:t>
      </w:r>
    </w:p>
    <w:tbl>
      <w:tblPr>
        <w:tblStyle w:val="TableGrid"/>
        <w:tblW w:w="0" w:type="auto"/>
        <w:tblLook w:val="04A0" w:firstRow="1" w:lastRow="0" w:firstColumn="1" w:lastColumn="0" w:noHBand="0" w:noVBand="1"/>
      </w:tblPr>
      <w:tblGrid>
        <w:gridCol w:w="9631"/>
      </w:tblGrid>
      <w:tr w:rsidR="00507F54" w14:paraId="05BEDCCC" w14:textId="77777777" w:rsidTr="00507F54">
        <w:tc>
          <w:tcPr>
            <w:tcW w:w="9631" w:type="dxa"/>
          </w:tcPr>
          <w:p w14:paraId="3FB23A06" w14:textId="77777777" w:rsidR="00507F54" w:rsidRPr="00507F54" w:rsidRDefault="00507F54" w:rsidP="00507F54">
            <w:pPr>
              <w:keepNext/>
              <w:keepLines/>
              <w:overflowPunct w:val="0"/>
              <w:autoSpaceDE w:val="0"/>
              <w:autoSpaceDN w:val="0"/>
              <w:adjustRightInd w:val="0"/>
              <w:spacing w:before="60"/>
              <w:jc w:val="center"/>
              <w:textAlignment w:val="baseline"/>
              <w:rPr>
                <w:rFonts w:ascii="Arial" w:hAnsi="Arial"/>
                <w:b/>
                <w:lang w:eastAsia="ja-JP"/>
              </w:rPr>
            </w:pPr>
            <w:r w:rsidRPr="00507F54">
              <w:rPr>
                <w:rFonts w:ascii="Arial" w:hAnsi="Arial"/>
                <w:b/>
                <w:i/>
                <w:lang w:eastAsia="ja-JP"/>
              </w:rPr>
              <w:lastRenderedPageBreak/>
              <w:t>SL-BWP-PoolConfig</w:t>
            </w:r>
            <w:r w:rsidRPr="00507F54">
              <w:rPr>
                <w:rFonts w:ascii="Arial" w:hAnsi="Arial"/>
                <w:b/>
                <w:lang w:eastAsia="ja-JP"/>
              </w:rPr>
              <w:t xml:space="preserve"> information element</w:t>
            </w:r>
          </w:p>
          <w:p w14:paraId="3368D10C"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color w:val="808080"/>
                <w:sz w:val="16"/>
                <w:lang w:eastAsia="en-GB"/>
              </w:rPr>
              <w:t>-- ASN1START</w:t>
            </w:r>
          </w:p>
          <w:p w14:paraId="57287D2B"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color w:val="808080"/>
                <w:sz w:val="16"/>
                <w:lang w:eastAsia="en-GB"/>
              </w:rPr>
              <w:t>-- TAG-SL-BWP-POOLCONFIG-START</w:t>
            </w:r>
          </w:p>
          <w:p w14:paraId="4756C339"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8C2B0F"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7F54">
              <w:rPr>
                <w:rFonts w:ascii="Courier New" w:hAnsi="Courier New"/>
                <w:noProof/>
                <w:sz w:val="16"/>
                <w:lang w:eastAsia="en-GB"/>
              </w:rPr>
              <w:t xml:space="preserve">SL-BWP-PoolConfig-r16 ::=        </w:t>
            </w:r>
            <w:r w:rsidRPr="00507F54">
              <w:rPr>
                <w:rFonts w:ascii="Courier New" w:hAnsi="Courier New"/>
                <w:noProof/>
                <w:color w:val="993366"/>
                <w:sz w:val="16"/>
                <w:lang w:eastAsia="en-GB"/>
              </w:rPr>
              <w:t>SEQUENCE</w:t>
            </w:r>
            <w:r w:rsidRPr="00507F54">
              <w:rPr>
                <w:rFonts w:ascii="Courier New" w:hAnsi="Courier New"/>
                <w:noProof/>
                <w:sz w:val="16"/>
                <w:lang w:eastAsia="en-GB"/>
              </w:rPr>
              <w:t xml:space="preserve"> {</w:t>
            </w:r>
          </w:p>
          <w:p w14:paraId="2A5CD7FC"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sz w:val="16"/>
                <w:lang w:eastAsia="en-GB"/>
              </w:rPr>
              <w:t xml:space="preserve">    sl-RxPool-r16                    </w:t>
            </w:r>
            <w:r w:rsidRPr="00507F54">
              <w:rPr>
                <w:rFonts w:ascii="Courier New" w:hAnsi="Courier New"/>
                <w:noProof/>
                <w:color w:val="993366"/>
                <w:sz w:val="16"/>
                <w:lang w:eastAsia="en-GB"/>
              </w:rPr>
              <w:t>SEQUENCE</w:t>
            </w:r>
            <w:r w:rsidRPr="00507F54">
              <w:rPr>
                <w:rFonts w:ascii="Courier New" w:hAnsi="Courier New"/>
                <w:noProof/>
                <w:sz w:val="16"/>
                <w:lang w:eastAsia="en-GB"/>
              </w:rPr>
              <w:t xml:space="preserve"> (</w:t>
            </w:r>
            <w:r w:rsidRPr="00507F54">
              <w:rPr>
                <w:rFonts w:ascii="Courier New" w:hAnsi="Courier New"/>
                <w:noProof/>
                <w:color w:val="993366"/>
                <w:sz w:val="16"/>
                <w:lang w:eastAsia="en-GB"/>
              </w:rPr>
              <w:t>SIZE</w:t>
            </w:r>
            <w:r w:rsidRPr="00507F54">
              <w:rPr>
                <w:rFonts w:ascii="Courier New" w:hAnsi="Courier New"/>
                <w:noProof/>
                <w:sz w:val="16"/>
                <w:lang w:eastAsia="en-GB"/>
              </w:rPr>
              <w:t xml:space="preserve"> (1..maxNrofRXPool-r16))</w:t>
            </w:r>
            <w:r w:rsidRPr="00507F54">
              <w:rPr>
                <w:rFonts w:ascii="Courier New" w:hAnsi="Courier New"/>
                <w:noProof/>
                <w:color w:val="993366"/>
                <w:sz w:val="16"/>
                <w:lang w:eastAsia="en-GB"/>
              </w:rPr>
              <w:t xml:space="preserve"> OF</w:t>
            </w:r>
            <w:r w:rsidRPr="00507F54">
              <w:rPr>
                <w:rFonts w:ascii="Courier New" w:hAnsi="Courier New"/>
                <w:noProof/>
                <w:sz w:val="16"/>
                <w:lang w:eastAsia="en-GB"/>
              </w:rPr>
              <w:t xml:space="preserve"> SL-ResourcePool-r16        </w:t>
            </w:r>
            <w:r w:rsidRPr="00507F54">
              <w:rPr>
                <w:rFonts w:ascii="Courier New" w:hAnsi="Courier New"/>
                <w:noProof/>
                <w:color w:val="993366"/>
                <w:sz w:val="16"/>
                <w:lang w:eastAsia="en-GB"/>
              </w:rPr>
              <w:t>OPTIONAL</w:t>
            </w:r>
            <w:r w:rsidRPr="00507F54">
              <w:rPr>
                <w:rFonts w:ascii="Courier New" w:hAnsi="Courier New"/>
                <w:noProof/>
                <w:sz w:val="16"/>
                <w:lang w:eastAsia="en-GB"/>
              </w:rPr>
              <w:t xml:space="preserve">,    </w:t>
            </w:r>
            <w:r w:rsidRPr="00507F54">
              <w:rPr>
                <w:rFonts w:ascii="Courier New" w:hAnsi="Courier New"/>
                <w:noProof/>
                <w:color w:val="808080"/>
                <w:sz w:val="16"/>
                <w:lang w:eastAsia="en-GB"/>
              </w:rPr>
              <w:t>-- Cond HO</w:t>
            </w:r>
          </w:p>
          <w:p w14:paraId="46D6A9DA"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sz w:val="16"/>
                <w:lang w:eastAsia="en-GB"/>
              </w:rPr>
              <w:t xml:space="preserve">    sl-TxPoolSelectedNormal-r16      SL-TxPoolDedicated-r16                                               </w:t>
            </w:r>
            <w:r w:rsidRPr="00507F54">
              <w:rPr>
                <w:rFonts w:ascii="Courier New" w:hAnsi="Courier New"/>
                <w:noProof/>
                <w:color w:val="993366"/>
                <w:sz w:val="16"/>
                <w:lang w:eastAsia="en-GB"/>
              </w:rPr>
              <w:t>OPTIONAL</w:t>
            </w:r>
            <w:r w:rsidRPr="00507F54">
              <w:rPr>
                <w:rFonts w:ascii="Courier New" w:hAnsi="Courier New"/>
                <w:noProof/>
                <w:sz w:val="16"/>
                <w:lang w:eastAsia="en-GB"/>
              </w:rPr>
              <w:t xml:space="preserve">,    </w:t>
            </w:r>
            <w:r w:rsidRPr="00507F54">
              <w:rPr>
                <w:rFonts w:ascii="Courier New" w:hAnsi="Courier New"/>
                <w:noProof/>
                <w:color w:val="808080"/>
                <w:sz w:val="16"/>
                <w:lang w:eastAsia="en-GB"/>
              </w:rPr>
              <w:t>-- Need M</w:t>
            </w:r>
          </w:p>
          <w:p w14:paraId="343ED8BA"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sz w:val="16"/>
                <w:lang w:eastAsia="en-GB"/>
              </w:rPr>
              <w:t xml:space="preserve">    sl-TxPoolScheduling-r16          SL-TxPoolDedicated-r16                                               </w:t>
            </w:r>
            <w:r w:rsidRPr="00507F54">
              <w:rPr>
                <w:rFonts w:ascii="Courier New" w:hAnsi="Courier New"/>
                <w:noProof/>
                <w:color w:val="993366"/>
                <w:sz w:val="16"/>
                <w:lang w:eastAsia="en-GB"/>
              </w:rPr>
              <w:t>OPTIONAL</w:t>
            </w:r>
            <w:r w:rsidRPr="00507F54">
              <w:rPr>
                <w:rFonts w:ascii="Courier New" w:hAnsi="Courier New"/>
                <w:noProof/>
                <w:sz w:val="16"/>
                <w:lang w:eastAsia="en-GB"/>
              </w:rPr>
              <w:t xml:space="preserve">,    </w:t>
            </w:r>
            <w:r w:rsidRPr="00507F54">
              <w:rPr>
                <w:rFonts w:ascii="Courier New" w:hAnsi="Courier New"/>
                <w:noProof/>
                <w:color w:val="808080"/>
                <w:sz w:val="16"/>
                <w:lang w:eastAsia="en-GB"/>
              </w:rPr>
              <w:t>-- Need N</w:t>
            </w:r>
          </w:p>
          <w:p w14:paraId="6A0D2AD0"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sz w:val="16"/>
                <w:lang w:eastAsia="en-GB"/>
              </w:rPr>
              <w:t xml:space="preserve">    sl-TxPoolExceptional-r16         SL-ResourcePoolConfig-r16                                            </w:t>
            </w:r>
            <w:r w:rsidRPr="00507F54">
              <w:rPr>
                <w:rFonts w:ascii="Courier New" w:hAnsi="Courier New"/>
                <w:noProof/>
                <w:color w:val="993366"/>
                <w:sz w:val="16"/>
                <w:lang w:eastAsia="en-GB"/>
              </w:rPr>
              <w:t>OPTIONAL</w:t>
            </w:r>
            <w:r w:rsidRPr="00507F54">
              <w:rPr>
                <w:rFonts w:ascii="Courier New" w:hAnsi="Courier New"/>
                <w:noProof/>
                <w:sz w:val="16"/>
                <w:lang w:eastAsia="en-GB"/>
              </w:rPr>
              <w:t xml:space="preserve">     </w:t>
            </w:r>
            <w:r w:rsidRPr="00507F54">
              <w:rPr>
                <w:rFonts w:ascii="Courier New" w:hAnsi="Courier New"/>
                <w:noProof/>
                <w:color w:val="808080"/>
                <w:sz w:val="16"/>
                <w:lang w:eastAsia="en-GB"/>
              </w:rPr>
              <w:t>-- Need M</w:t>
            </w:r>
          </w:p>
          <w:p w14:paraId="16306633"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07F54">
              <w:rPr>
                <w:rFonts w:ascii="Courier New" w:eastAsia="DengXian" w:hAnsi="Courier New"/>
                <w:noProof/>
                <w:sz w:val="16"/>
                <w:lang w:eastAsia="en-GB"/>
              </w:rPr>
              <w:t>}</w:t>
            </w:r>
          </w:p>
          <w:p w14:paraId="59CD76F0"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58A8CF"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7F54">
              <w:rPr>
                <w:rFonts w:ascii="Courier New" w:hAnsi="Courier New"/>
                <w:noProof/>
                <w:sz w:val="16"/>
                <w:lang w:eastAsia="en-GB"/>
              </w:rPr>
              <w:t xml:space="preserve">SL-TxPoolDedicated-r16 ::=       </w:t>
            </w:r>
            <w:r w:rsidRPr="00507F54">
              <w:rPr>
                <w:rFonts w:ascii="Courier New" w:hAnsi="Courier New"/>
                <w:noProof/>
                <w:color w:val="993366"/>
                <w:sz w:val="16"/>
                <w:lang w:eastAsia="en-GB"/>
              </w:rPr>
              <w:t>SEQUENCE</w:t>
            </w:r>
            <w:r w:rsidRPr="00507F54">
              <w:rPr>
                <w:rFonts w:ascii="Courier New" w:hAnsi="Courier New"/>
                <w:noProof/>
                <w:sz w:val="16"/>
                <w:lang w:eastAsia="en-GB"/>
              </w:rPr>
              <w:t xml:space="preserve"> {</w:t>
            </w:r>
          </w:p>
          <w:p w14:paraId="7650DBF2"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sz w:val="16"/>
                <w:lang w:eastAsia="en-GB"/>
              </w:rPr>
              <w:t xml:space="preserve">    sl-PoolToReleaseList-r16         </w:t>
            </w:r>
            <w:r w:rsidRPr="00507F54">
              <w:rPr>
                <w:rFonts w:ascii="Courier New" w:hAnsi="Courier New"/>
                <w:noProof/>
                <w:color w:val="993366"/>
                <w:sz w:val="16"/>
                <w:lang w:eastAsia="en-GB"/>
              </w:rPr>
              <w:t>SEQUENCE</w:t>
            </w:r>
            <w:r w:rsidRPr="00507F54">
              <w:rPr>
                <w:rFonts w:ascii="Courier New" w:hAnsi="Courier New"/>
                <w:noProof/>
                <w:sz w:val="16"/>
                <w:lang w:eastAsia="en-GB"/>
              </w:rPr>
              <w:t xml:space="preserve"> (</w:t>
            </w:r>
            <w:r w:rsidRPr="00507F54">
              <w:rPr>
                <w:rFonts w:ascii="Courier New" w:hAnsi="Courier New"/>
                <w:noProof/>
                <w:color w:val="993366"/>
                <w:sz w:val="16"/>
                <w:lang w:eastAsia="en-GB"/>
              </w:rPr>
              <w:t>SIZE</w:t>
            </w:r>
            <w:r w:rsidRPr="00507F54">
              <w:rPr>
                <w:rFonts w:ascii="Courier New" w:hAnsi="Courier New"/>
                <w:noProof/>
                <w:sz w:val="16"/>
                <w:lang w:eastAsia="en-GB"/>
              </w:rPr>
              <w:t xml:space="preserve"> (1..maxNrofTXPool-r16))</w:t>
            </w:r>
            <w:r w:rsidRPr="00507F54">
              <w:rPr>
                <w:rFonts w:ascii="Courier New" w:hAnsi="Courier New"/>
                <w:noProof/>
                <w:color w:val="993366"/>
                <w:sz w:val="16"/>
                <w:lang w:eastAsia="en-GB"/>
              </w:rPr>
              <w:t xml:space="preserve"> OF</w:t>
            </w:r>
            <w:r w:rsidRPr="00507F54">
              <w:rPr>
                <w:rFonts w:ascii="Courier New" w:hAnsi="Courier New"/>
                <w:noProof/>
                <w:sz w:val="16"/>
                <w:lang w:eastAsia="en-GB"/>
              </w:rPr>
              <w:t xml:space="preserve"> SL-ResourcePoolID-r16      </w:t>
            </w:r>
            <w:r w:rsidRPr="00507F54">
              <w:rPr>
                <w:rFonts w:ascii="Courier New" w:hAnsi="Courier New"/>
                <w:noProof/>
                <w:color w:val="993366"/>
                <w:sz w:val="16"/>
                <w:lang w:eastAsia="en-GB"/>
              </w:rPr>
              <w:t>OPTIONAL</w:t>
            </w:r>
            <w:r w:rsidRPr="00507F54">
              <w:rPr>
                <w:rFonts w:ascii="Courier New" w:hAnsi="Courier New"/>
                <w:noProof/>
                <w:sz w:val="16"/>
                <w:lang w:eastAsia="en-GB"/>
              </w:rPr>
              <w:t xml:space="preserve">,    </w:t>
            </w:r>
            <w:r w:rsidRPr="00507F54">
              <w:rPr>
                <w:rFonts w:ascii="Courier New" w:hAnsi="Courier New"/>
                <w:noProof/>
                <w:color w:val="808080"/>
                <w:sz w:val="16"/>
                <w:lang w:eastAsia="en-GB"/>
              </w:rPr>
              <w:t>-- Need N</w:t>
            </w:r>
          </w:p>
          <w:p w14:paraId="1712CF73"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sz w:val="16"/>
                <w:lang w:eastAsia="en-GB"/>
              </w:rPr>
              <w:t xml:space="preserve">    sl-PoolToAddModList-r16          </w:t>
            </w:r>
            <w:r w:rsidRPr="00507F54">
              <w:rPr>
                <w:rFonts w:ascii="Courier New" w:hAnsi="Courier New"/>
                <w:noProof/>
                <w:color w:val="993366"/>
                <w:sz w:val="16"/>
                <w:lang w:eastAsia="en-GB"/>
              </w:rPr>
              <w:t>SEQUENCE</w:t>
            </w:r>
            <w:r w:rsidRPr="00507F54">
              <w:rPr>
                <w:rFonts w:ascii="Courier New" w:hAnsi="Courier New"/>
                <w:noProof/>
                <w:sz w:val="16"/>
                <w:lang w:eastAsia="en-GB"/>
              </w:rPr>
              <w:t xml:space="preserve"> (</w:t>
            </w:r>
            <w:r w:rsidRPr="00507F54">
              <w:rPr>
                <w:rFonts w:ascii="Courier New" w:hAnsi="Courier New"/>
                <w:noProof/>
                <w:color w:val="993366"/>
                <w:sz w:val="16"/>
                <w:lang w:eastAsia="en-GB"/>
              </w:rPr>
              <w:t>SIZE</w:t>
            </w:r>
            <w:r w:rsidRPr="00507F54">
              <w:rPr>
                <w:rFonts w:ascii="Courier New" w:hAnsi="Courier New"/>
                <w:noProof/>
                <w:sz w:val="16"/>
                <w:lang w:eastAsia="en-GB"/>
              </w:rPr>
              <w:t xml:space="preserve"> (1..maxNrofTXPool-r16))</w:t>
            </w:r>
            <w:r w:rsidRPr="00507F54">
              <w:rPr>
                <w:rFonts w:ascii="Courier New" w:hAnsi="Courier New"/>
                <w:noProof/>
                <w:color w:val="993366"/>
                <w:sz w:val="16"/>
                <w:lang w:eastAsia="en-GB"/>
              </w:rPr>
              <w:t xml:space="preserve"> OF</w:t>
            </w:r>
            <w:r w:rsidRPr="00507F54">
              <w:rPr>
                <w:rFonts w:ascii="Courier New" w:hAnsi="Courier New"/>
                <w:noProof/>
                <w:sz w:val="16"/>
                <w:lang w:eastAsia="en-GB"/>
              </w:rPr>
              <w:t xml:space="preserve"> SL-ResourcePoolConfig-r16  </w:t>
            </w:r>
            <w:r w:rsidRPr="00507F54">
              <w:rPr>
                <w:rFonts w:ascii="Courier New" w:hAnsi="Courier New"/>
                <w:noProof/>
                <w:color w:val="993366"/>
                <w:sz w:val="16"/>
                <w:lang w:eastAsia="en-GB"/>
              </w:rPr>
              <w:t>OPTIONAL</w:t>
            </w:r>
            <w:r w:rsidRPr="00507F54">
              <w:rPr>
                <w:rFonts w:ascii="Courier New" w:hAnsi="Courier New"/>
                <w:noProof/>
                <w:sz w:val="16"/>
                <w:lang w:eastAsia="en-GB"/>
              </w:rPr>
              <w:t xml:space="preserve">     </w:t>
            </w:r>
            <w:r w:rsidRPr="00507F54">
              <w:rPr>
                <w:rFonts w:ascii="Courier New" w:hAnsi="Courier New"/>
                <w:noProof/>
                <w:color w:val="808080"/>
                <w:sz w:val="16"/>
                <w:lang w:eastAsia="en-GB"/>
              </w:rPr>
              <w:t>-- Need N</w:t>
            </w:r>
          </w:p>
          <w:p w14:paraId="47AD1E0F"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7F54">
              <w:rPr>
                <w:rFonts w:ascii="Courier New" w:hAnsi="Courier New"/>
                <w:noProof/>
                <w:sz w:val="16"/>
                <w:lang w:eastAsia="en-GB"/>
              </w:rPr>
              <w:t>}</w:t>
            </w:r>
          </w:p>
          <w:p w14:paraId="5766F087"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264509"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7F54">
              <w:rPr>
                <w:rFonts w:ascii="Courier New" w:hAnsi="Courier New"/>
                <w:noProof/>
                <w:sz w:val="16"/>
                <w:lang w:eastAsia="en-GB"/>
              </w:rPr>
              <w:t xml:space="preserve">SL-ResourcePoolConfig-r16 ::=    </w:t>
            </w:r>
            <w:r w:rsidRPr="00507F54">
              <w:rPr>
                <w:rFonts w:ascii="Courier New" w:hAnsi="Courier New"/>
                <w:noProof/>
                <w:color w:val="993366"/>
                <w:sz w:val="16"/>
                <w:lang w:eastAsia="en-GB"/>
              </w:rPr>
              <w:t>SEQUENCE</w:t>
            </w:r>
            <w:r w:rsidRPr="00507F54">
              <w:rPr>
                <w:rFonts w:ascii="Courier New" w:hAnsi="Courier New"/>
                <w:noProof/>
                <w:sz w:val="16"/>
                <w:lang w:eastAsia="en-GB"/>
              </w:rPr>
              <w:t xml:space="preserve"> {</w:t>
            </w:r>
          </w:p>
          <w:p w14:paraId="0E332385"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7F54">
              <w:rPr>
                <w:rFonts w:ascii="Courier New" w:hAnsi="Courier New"/>
                <w:noProof/>
                <w:sz w:val="16"/>
                <w:lang w:eastAsia="en-GB"/>
              </w:rPr>
              <w:t xml:space="preserve">    sl-ResourcePoolID-r16            SL-ResourcePoolID-r16,</w:t>
            </w:r>
          </w:p>
          <w:p w14:paraId="5AE65019"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sz w:val="16"/>
                <w:lang w:eastAsia="en-GB"/>
              </w:rPr>
              <w:t xml:space="preserve">    sl-ResourcePool-r16              SL-ResourcePool-r16                                                  </w:t>
            </w:r>
            <w:r w:rsidRPr="00507F54">
              <w:rPr>
                <w:rFonts w:ascii="Courier New" w:hAnsi="Courier New"/>
                <w:noProof/>
                <w:color w:val="993366"/>
                <w:sz w:val="16"/>
                <w:lang w:eastAsia="en-GB"/>
              </w:rPr>
              <w:t>OPTIONAL</w:t>
            </w:r>
            <w:r w:rsidRPr="00507F54">
              <w:rPr>
                <w:rFonts w:ascii="Courier New" w:hAnsi="Courier New"/>
                <w:noProof/>
                <w:sz w:val="16"/>
                <w:lang w:eastAsia="en-GB"/>
              </w:rPr>
              <w:t xml:space="preserve">    </w:t>
            </w:r>
            <w:r w:rsidRPr="00507F54">
              <w:rPr>
                <w:rFonts w:ascii="Courier New" w:hAnsi="Courier New"/>
                <w:noProof/>
                <w:color w:val="808080"/>
                <w:sz w:val="16"/>
                <w:lang w:eastAsia="en-GB"/>
              </w:rPr>
              <w:t>-- Need M</w:t>
            </w:r>
          </w:p>
          <w:p w14:paraId="509BC46B"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7F54">
              <w:rPr>
                <w:rFonts w:ascii="Courier New" w:hAnsi="Courier New"/>
                <w:noProof/>
                <w:sz w:val="16"/>
                <w:lang w:eastAsia="en-GB"/>
              </w:rPr>
              <w:t>}</w:t>
            </w:r>
          </w:p>
          <w:p w14:paraId="02CB27F3"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C8380B"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7F54">
              <w:rPr>
                <w:rFonts w:ascii="Courier New" w:hAnsi="Courier New"/>
                <w:noProof/>
                <w:sz w:val="16"/>
                <w:lang w:eastAsia="en-GB"/>
              </w:rPr>
              <w:t xml:space="preserve">SL-ResourcePoolID-r16 ::=        </w:t>
            </w:r>
            <w:r w:rsidRPr="00507F54">
              <w:rPr>
                <w:rFonts w:ascii="Courier New" w:hAnsi="Courier New"/>
                <w:noProof/>
                <w:color w:val="993366"/>
                <w:sz w:val="16"/>
                <w:lang w:eastAsia="en-GB"/>
              </w:rPr>
              <w:t>INTEGER</w:t>
            </w:r>
            <w:r w:rsidRPr="00507F54">
              <w:rPr>
                <w:rFonts w:ascii="Courier New" w:hAnsi="Courier New"/>
                <w:noProof/>
                <w:sz w:val="16"/>
                <w:lang w:eastAsia="en-GB"/>
              </w:rPr>
              <w:t xml:space="preserve"> (1..maxNrofPoolID-r16)</w:t>
            </w:r>
          </w:p>
          <w:p w14:paraId="0A1AE2A1"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7502CB"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color w:val="808080"/>
                <w:sz w:val="16"/>
                <w:lang w:eastAsia="en-GB"/>
              </w:rPr>
              <w:t>-- TAG-SL-BWP-POOLCONFIG-STOP</w:t>
            </w:r>
          </w:p>
          <w:p w14:paraId="57F90A73" w14:textId="77777777" w:rsidR="00507F54" w:rsidRPr="00507F54" w:rsidRDefault="00507F54" w:rsidP="00507F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color w:val="808080"/>
                <w:sz w:val="16"/>
                <w:lang w:eastAsia="en-GB"/>
              </w:rPr>
              <w:t>-- ASN1STOP</w:t>
            </w:r>
          </w:p>
          <w:p w14:paraId="02C975F5" w14:textId="77777777" w:rsidR="00507F54" w:rsidRDefault="00507F54" w:rsidP="009339CB"/>
        </w:tc>
      </w:tr>
    </w:tbl>
    <w:p w14:paraId="6860D841" w14:textId="740EDBD4" w:rsidR="00BB42D9" w:rsidRPr="00BB42D9" w:rsidRDefault="00BB42D9" w:rsidP="00AD7281">
      <w:pPr>
        <w:jc w:val="both"/>
        <w:rPr>
          <w:b/>
          <w:bCs/>
        </w:rPr>
      </w:pPr>
      <w:r>
        <w:rPr>
          <w:b/>
          <w:bCs/>
        </w:rPr>
        <w:br/>
      </w:r>
      <w:r w:rsidRPr="00480088">
        <w:rPr>
          <w:b/>
          <w:bCs/>
        </w:rPr>
        <w:t>Observation 7: For NR PC5 Mode 2 the UE can be configured with up to 8 Tx resource pools per BWP.</w:t>
      </w:r>
    </w:p>
    <w:p w14:paraId="0A7D5F06" w14:textId="25D2B3B3" w:rsidR="00507F54" w:rsidRDefault="00BB42D9" w:rsidP="00AD7281">
      <w:pPr>
        <w:jc w:val="both"/>
      </w:pPr>
      <w:r>
        <w:t>Thus, it could be up to the NW’s configuration whether to use a single separate pool specifically for UAV purposes (e.g. for BRID and/or DAA)</w:t>
      </w:r>
      <w:r w:rsidR="007204B0">
        <w:t>, especially if such recommendation is provided by SA2. However, there is likely no need for pursuing specification changes</w:t>
      </w:r>
      <w:r w:rsidR="004767C2">
        <w:t xml:space="preserve"> and such configuration is already feasible</w:t>
      </w:r>
      <w:r w:rsidR="007204B0">
        <w:t xml:space="preserve">. </w:t>
      </w:r>
    </w:p>
    <w:p w14:paraId="5D2C4B43" w14:textId="17CC038A" w:rsidR="007204B0" w:rsidRPr="00AD7281" w:rsidRDefault="00555F9A" w:rsidP="00AD7281">
      <w:pPr>
        <w:jc w:val="both"/>
        <w:rPr>
          <w:b/>
          <w:bCs/>
        </w:rPr>
      </w:pPr>
      <w:r w:rsidRPr="00AD7281">
        <w:rPr>
          <w:b/>
          <w:bCs/>
        </w:rPr>
        <w:t xml:space="preserve">Proposal 1: As per NR RRC, NW is able to configure one or more </w:t>
      </w:r>
      <w:r w:rsidR="00AD7281" w:rsidRPr="00AD7281">
        <w:rPr>
          <w:b/>
          <w:bCs/>
        </w:rPr>
        <w:t xml:space="preserve">PC5 Tx pool for UAV purposes (e.g. BRID or DAA), so RAN2 does not pursue further specification changes to enable separate PC5 pools for UAV services. </w:t>
      </w:r>
    </w:p>
    <w:p w14:paraId="483D2E44" w14:textId="13E89C97" w:rsidR="009339CB" w:rsidRDefault="005A13AB" w:rsidP="00CA2BB9">
      <w:pPr>
        <w:pStyle w:val="Heading1"/>
      </w:pPr>
      <w:r>
        <w:t>3</w:t>
      </w:r>
      <w:r w:rsidR="009339CB" w:rsidRPr="006E13D1">
        <w:tab/>
      </w:r>
      <w:r w:rsidR="009339CB">
        <w:t>Conclusion</w:t>
      </w:r>
    </w:p>
    <w:p w14:paraId="6E24B0F4" w14:textId="070287F7" w:rsidR="009339CB" w:rsidRDefault="0093441C" w:rsidP="009339CB">
      <w:r>
        <w:t>In t</w:t>
      </w:r>
      <w:r w:rsidR="009339CB">
        <w:t>his document</w:t>
      </w:r>
      <w:r>
        <w:t xml:space="preserve"> the following observations and proposals have been</w:t>
      </w:r>
      <w:r w:rsidR="009339CB">
        <w:t xml:space="preserve"> made:</w:t>
      </w:r>
    </w:p>
    <w:p w14:paraId="3578596C" w14:textId="77777777" w:rsidR="00D54342" w:rsidRPr="00494270" w:rsidRDefault="00D54342" w:rsidP="00D54342">
      <w:pPr>
        <w:jc w:val="both"/>
        <w:rPr>
          <w:b/>
          <w:bCs/>
        </w:rPr>
      </w:pPr>
      <w:r w:rsidRPr="00494270">
        <w:rPr>
          <w:b/>
          <w:bCs/>
        </w:rPr>
        <w:t xml:space="preserve">Observation 1: For NR </w:t>
      </w:r>
      <w:r>
        <w:rPr>
          <w:b/>
          <w:bCs/>
        </w:rPr>
        <w:t xml:space="preserve">the </w:t>
      </w:r>
      <w:r w:rsidRPr="00494270">
        <w:rPr>
          <w:b/>
          <w:bCs/>
        </w:rPr>
        <w:t>QoS requirements for PC5 are represented using service specific PQIs, defined in TS 23.287.</w:t>
      </w:r>
    </w:p>
    <w:p w14:paraId="3547265A" w14:textId="77777777" w:rsidR="00D54342" w:rsidRPr="00250C08" w:rsidRDefault="00D54342" w:rsidP="00D54342">
      <w:pPr>
        <w:jc w:val="both"/>
        <w:rPr>
          <w:b/>
          <w:bCs/>
        </w:rPr>
      </w:pPr>
      <w:r w:rsidRPr="00250C08">
        <w:rPr>
          <w:b/>
          <w:bCs/>
        </w:rPr>
        <w:t>Observation 2: For LTE the QoS requirements for PC5 are represented using PPPP and PPPR values</w:t>
      </w:r>
      <w:r>
        <w:rPr>
          <w:b/>
          <w:bCs/>
        </w:rPr>
        <w:t xml:space="preserve"> (defined in TS 23.285)</w:t>
      </w:r>
      <w:r w:rsidRPr="00250C08">
        <w:rPr>
          <w:b/>
          <w:bCs/>
        </w:rPr>
        <w:t>, assigned by the application layer to each message sent to lower layers for transmission.</w:t>
      </w:r>
    </w:p>
    <w:p w14:paraId="1BFCCA7A" w14:textId="62A00216" w:rsidR="001E6D14" w:rsidRDefault="00D54342" w:rsidP="00D54342">
      <w:pPr>
        <w:jc w:val="both"/>
        <w:rPr>
          <w:b/>
          <w:bCs/>
        </w:rPr>
      </w:pPr>
      <w:r w:rsidRPr="00026D0F">
        <w:rPr>
          <w:b/>
          <w:bCs/>
        </w:rPr>
        <w:t xml:space="preserve">Observation 3: The minimum periodicity of BRID is 1 s while the expected message size is up to 250 bytes.  </w:t>
      </w:r>
    </w:p>
    <w:p w14:paraId="571179CA" w14:textId="77777777" w:rsidR="00D54342" w:rsidRPr="00E13D2A" w:rsidRDefault="00D54342" w:rsidP="00D54342">
      <w:pPr>
        <w:jc w:val="both"/>
        <w:rPr>
          <w:b/>
          <w:bCs/>
        </w:rPr>
      </w:pPr>
      <w:r w:rsidRPr="00E13D2A">
        <w:rPr>
          <w:b/>
          <w:bCs/>
        </w:rPr>
        <w:t xml:space="preserve">Observation 4: QoS requirements for BRID are more relaxed than </w:t>
      </w:r>
      <w:r>
        <w:rPr>
          <w:b/>
          <w:bCs/>
        </w:rPr>
        <w:t xml:space="preserve">for </w:t>
      </w:r>
      <w:r w:rsidRPr="00E13D2A">
        <w:rPr>
          <w:b/>
          <w:bCs/>
        </w:rPr>
        <w:t>most of the PQIs listed in Table I.</w:t>
      </w:r>
    </w:p>
    <w:p w14:paraId="211A3A6C" w14:textId="77777777" w:rsidR="00D54342" w:rsidRPr="00C30C71" w:rsidRDefault="00D54342" w:rsidP="00D54342">
      <w:pPr>
        <w:jc w:val="both"/>
        <w:rPr>
          <w:b/>
          <w:bCs/>
        </w:rPr>
      </w:pPr>
      <w:r w:rsidRPr="00C30C71">
        <w:rPr>
          <w:b/>
          <w:bCs/>
        </w:rPr>
        <w:t xml:space="preserve">Observation 5: SA2 should decide whether any of the </w:t>
      </w:r>
      <w:r>
        <w:rPr>
          <w:b/>
          <w:bCs/>
        </w:rPr>
        <w:t xml:space="preserve">NR </w:t>
      </w:r>
      <w:r w:rsidRPr="00C30C71">
        <w:rPr>
          <w:b/>
          <w:bCs/>
        </w:rPr>
        <w:t>PQI values listed in TS 2</w:t>
      </w:r>
      <w:r>
        <w:rPr>
          <w:b/>
          <w:bCs/>
        </w:rPr>
        <w:t>3.287</w:t>
      </w:r>
      <w:r w:rsidRPr="00C30C71">
        <w:rPr>
          <w:b/>
          <w:bCs/>
        </w:rPr>
        <w:t xml:space="preserve"> is suitable also for BRID and DAA or a new dedicated PQI shall be defined for this purpose.</w:t>
      </w:r>
    </w:p>
    <w:p w14:paraId="564E6187" w14:textId="77777777" w:rsidR="00D54342" w:rsidRPr="00F20D45" w:rsidRDefault="00D54342" w:rsidP="00D54342">
      <w:pPr>
        <w:jc w:val="both"/>
        <w:rPr>
          <w:b/>
          <w:bCs/>
        </w:rPr>
      </w:pPr>
      <w:r w:rsidRPr="00F20D45">
        <w:rPr>
          <w:b/>
          <w:bCs/>
        </w:rPr>
        <w:t>Observation 6: PPPP values for LTE PC5 are described in TS 23.303. However, the application layer selects PPPPs based on criteria that are outside of the 3GPP, so a similar table to Table I cannot be provided.</w:t>
      </w:r>
    </w:p>
    <w:p w14:paraId="54B86F04" w14:textId="77777777" w:rsidR="00D54342" w:rsidRPr="00BB42D9" w:rsidRDefault="00D54342" w:rsidP="00D54342">
      <w:pPr>
        <w:jc w:val="both"/>
        <w:rPr>
          <w:b/>
          <w:bCs/>
        </w:rPr>
      </w:pPr>
      <w:r w:rsidRPr="00480088">
        <w:rPr>
          <w:b/>
          <w:bCs/>
        </w:rPr>
        <w:t>Observation 7: For NR PC5 Mode 2 the UE can be configured with up to 8 Tx resource pools per BWP.</w:t>
      </w:r>
    </w:p>
    <w:p w14:paraId="35354128" w14:textId="5D8E191A" w:rsidR="00D54342" w:rsidRPr="00D54342" w:rsidRDefault="00D54342" w:rsidP="00D54342">
      <w:pPr>
        <w:jc w:val="both"/>
        <w:rPr>
          <w:b/>
          <w:bCs/>
        </w:rPr>
      </w:pPr>
      <w:r w:rsidRPr="00AD7281">
        <w:rPr>
          <w:b/>
          <w:bCs/>
        </w:rPr>
        <w:t xml:space="preserve">Proposal 1: As per NR RRC, NW is able to configure one or more PC5 Tx pool for UAV purposes (e.g. BRID or DAA), so RAN2 does not pursue further specification changes to enable separate PC5 pools for UAV services. </w:t>
      </w:r>
    </w:p>
    <w:p w14:paraId="72DA59B6" w14:textId="53ABA65B" w:rsidR="00613050" w:rsidRDefault="00613050">
      <w:pPr>
        <w:pStyle w:val="Heading1"/>
      </w:pPr>
      <w:r>
        <w:lastRenderedPageBreak/>
        <w:t>References</w:t>
      </w:r>
    </w:p>
    <w:p w14:paraId="7B19C9B2" w14:textId="4F13E083" w:rsidR="004B31FF" w:rsidRPr="00613050" w:rsidRDefault="00421837" w:rsidP="00421837">
      <w:pPr>
        <w:pStyle w:val="ListParagraph"/>
        <w:numPr>
          <w:ilvl w:val="0"/>
          <w:numId w:val="8"/>
        </w:numPr>
      </w:pPr>
      <w:bookmarkStart w:id="1" w:name="_Ref134198904"/>
      <w:r>
        <w:t xml:space="preserve">R2-2304203 </w:t>
      </w:r>
      <w:r w:rsidRPr="00421837">
        <w:rPr>
          <w:i/>
          <w:iCs/>
        </w:rPr>
        <w:t>Report from UP, Small data, URLLC/IIoT, RACH indication, NWES and UAV</w:t>
      </w:r>
      <w:r>
        <w:t xml:space="preserve"> 3GPP TSG-RAN WG2 Meeting #121-bis electronic April 17-26, 2023</w:t>
      </w:r>
      <w:bookmarkEnd w:id="1"/>
      <w:r>
        <w:t xml:space="preserve"> </w:t>
      </w:r>
    </w:p>
    <w:p w14:paraId="7A520376" w14:textId="0788103D" w:rsidR="00801C6B" w:rsidRDefault="00421837" w:rsidP="00E95056">
      <w:pPr>
        <w:pStyle w:val="ListParagraph"/>
        <w:numPr>
          <w:ilvl w:val="0"/>
          <w:numId w:val="8"/>
        </w:numPr>
      </w:pPr>
      <w:bookmarkStart w:id="2" w:name="_Ref134199145"/>
      <w:r>
        <w:t xml:space="preserve">R2-2304564 </w:t>
      </w:r>
      <w:r w:rsidRPr="00421837">
        <w:rPr>
          <w:i/>
          <w:iCs/>
        </w:rPr>
        <w:t>LS on BRID and DAA broadcast over LTE and NR PC5</w:t>
      </w:r>
      <w:r>
        <w:t xml:space="preserve"> 3GPP TSG-RAN WG2 Meeting #121-bis electronic April 17-26, 2023</w:t>
      </w:r>
      <w:bookmarkEnd w:id="2"/>
    </w:p>
    <w:p w14:paraId="09E3B6DA" w14:textId="0BF0321B" w:rsidR="00DA0518" w:rsidRDefault="00DA0518" w:rsidP="00E95056">
      <w:pPr>
        <w:pStyle w:val="ListParagraph"/>
        <w:numPr>
          <w:ilvl w:val="0"/>
          <w:numId w:val="8"/>
        </w:numPr>
      </w:pPr>
      <w:bookmarkStart w:id="3" w:name="_Ref134199330"/>
      <w:r w:rsidRPr="00DA0518">
        <w:t>3GPP TS 23.285</w:t>
      </w:r>
      <w:r>
        <w:t xml:space="preserve"> </w:t>
      </w:r>
      <w:r w:rsidRPr="00DA0518">
        <w:t>Architecture enhancements for V2X services</w:t>
      </w:r>
      <w:bookmarkEnd w:id="3"/>
    </w:p>
    <w:p w14:paraId="18BEFD4B" w14:textId="1684AD59" w:rsidR="00DA0518" w:rsidRDefault="00DA0518" w:rsidP="00DA0518">
      <w:pPr>
        <w:pStyle w:val="ListParagraph"/>
        <w:numPr>
          <w:ilvl w:val="0"/>
          <w:numId w:val="8"/>
        </w:numPr>
      </w:pPr>
      <w:bookmarkStart w:id="4" w:name="_Ref134199342"/>
      <w:r w:rsidRPr="00DA0518">
        <w:t>3GPP TS 23.287</w:t>
      </w:r>
      <w:r>
        <w:t xml:space="preserve"> Architecture enhancements for 5G System (5GS) to support Vehicle-to-Everything (V2X) services</w:t>
      </w:r>
      <w:bookmarkEnd w:id="4"/>
    </w:p>
    <w:p w14:paraId="421117C8" w14:textId="45067195" w:rsidR="00B47752" w:rsidRDefault="00B47752" w:rsidP="00DA0518">
      <w:pPr>
        <w:pStyle w:val="ListParagraph"/>
        <w:numPr>
          <w:ilvl w:val="0"/>
          <w:numId w:val="8"/>
        </w:numPr>
      </w:pPr>
      <w:bookmarkStart w:id="5" w:name="_Ref134441403"/>
      <w:r w:rsidRPr="00B47752">
        <w:t>F3411-19</w:t>
      </w:r>
      <w:r w:rsidR="006541F5">
        <w:t xml:space="preserve"> </w:t>
      </w:r>
      <w:r w:rsidR="006541F5" w:rsidRPr="006541F5">
        <w:rPr>
          <w:i/>
          <w:iCs/>
        </w:rPr>
        <w:t>Standard Specification for Remote ID and Tracking</w:t>
      </w:r>
      <w:r w:rsidR="006541F5">
        <w:t xml:space="preserve">, </w:t>
      </w:r>
      <w:r w:rsidR="006541F5" w:rsidRPr="006541F5">
        <w:t>May 25, 2022</w:t>
      </w:r>
      <w:bookmarkEnd w:id="5"/>
    </w:p>
    <w:p w14:paraId="03A83624" w14:textId="67ED1B4C" w:rsidR="003D5FEA" w:rsidRPr="00613050" w:rsidRDefault="00021A06" w:rsidP="004C2753">
      <w:pPr>
        <w:pStyle w:val="ListParagraph"/>
        <w:numPr>
          <w:ilvl w:val="0"/>
          <w:numId w:val="8"/>
        </w:numPr>
      </w:pPr>
      <w:bookmarkStart w:id="6" w:name="_Ref134444185"/>
      <w:r>
        <w:t xml:space="preserve">3GPP </w:t>
      </w:r>
      <w:r w:rsidR="003D5FEA">
        <w:t>TS 23.303</w:t>
      </w:r>
      <w:r w:rsidR="004C2753">
        <w:t xml:space="preserve"> Proximity-based services (ProSe); Stage 2</w:t>
      </w:r>
      <w:bookmarkEnd w:id="6"/>
    </w:p>
    <w:sectPr w:rsidR="003D5FEA" w:rsidRPr="0061305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92484" w14:textId="77777777" w:rsidR="00BE0850" w:rsidRDefault="00BE0850">
      <w:r>
        <w:separator/>
      </w:r>
    </w:p>
  </w:endnote>
  <w:endnote w:type="continuationSeparator" w:id="0">
    <w:p w14:paraId="73EDB0B5" w14:textId="77777777" w:rsidR="00BE0850" w:rsidRDefault="00BE0850">
      <w:r>
        <w:continuationSeparator/>
      </w:r>
    </w:p>
  </w:endnote>
  <w:endnote w:type="continuationNotice" w:id="1">
    <w:p w14:paraId="3BA39622" w14:textId="77777777" w:rsidR="00BE0850" w:rsidRDefault="00BE08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ED33C" w14:textId="77777777" w:rsidR="00BE0850" w:rsidRDefault="00BE0850">
      <w:r>
        <w:separator/>
      </w:r>
    </w:p>
  </w:footnote>
  <w:footnote w:type="continuationSeparator" w:id="0">
    <w:p w14:paraId="59D9EEFD" w14:textId="77777777" w:rsidR="00BE0850" w:rsidRDefault="00BE0850">
      <w:r>
        <w:continuationSeparator/>
      </w:r>
    </w:p>
  </w:footnote>
  <w:footnote w:type="continuationNotice" w:id="1">
    <w:p w14:paraId="0B7A889A" w14:textId="77777777" w:rsidR="00BE0850" w:rsidRDefault="00BE08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7614685"/>
    <w:multiLevelType w:val="hybridMultilevel"/>
    <w:tmpl w:val="2FA4F41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10276356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1C9"/>
    <w:rsid w:val="000068EE"/>
    <w:rsid w:val="00006C10"/>
    <w:rsid w:val="00016557"/>
    <w:rsid w:val="00021A06"/>
    <w:rsid w:val="00023C40"/>
    <w:rsid w:val="00026D0F"/>
    <w:rsid w:val="00033397"/>
    <w:rsid w:val="00040095"/>
    <w:rsid w:val="00044CB3"/>
    <w:rsid w:val="00065268"/>
    <w:rsid w:val="00073C9C"/>
    <w:rsid w:val="00076412"/>
    <w:rsid w:val="00080512"/>
    <w:rsid w:val="00083C16"/>
    <w:rsid w:val="00090468"/>
    <w:rsid w:val="00094568"/>
    <w:rsid w:val="000A7CE0"/>
    <w:rsid w:val="000B46B0"/>
    <w:rsid w:val="000B6D3F"/>
    <w:rsid w:val="000B7BCF"/>
    <w:rsid w:val="000C29DC"/>
    <w:rsid w:val="000C522B"/>
    <w:rsid w:val="000D58AB"/>
    <w:rsid w:val="000E367E"/>
    <w:rsid w:val="00112F1A"/>
    <w:rsid w:val="00126180"/>
    <w:rsid w:val="00145075"/>
    <w:rsid w:val="00154AED"/>
    <w:rsid w:val="00166A0C"/>
    <w:rsid w:val="001741A0"/>
    <w:rsid w:val="00175FA0"/>
    <w:rsid w:val="00194CD0"/>
    <w:rsid w:val="001B49C9"/>
    <w:rsid w:val="001C23F4"/>
    <w:rsid w:val="001C4F79"/>
    <w:rsid w:val="001E6D14"/>
    <w:rsid w:val="001F168B"/>
    <w:rsid w:val="001F7831"/>
    <w:rsid w:val="00204045"/>
    <w:rsid w:val="0020712B"/>
    <w:rsid w:val="00213B2F"/>
    <w:rsid w:val="00216E33"/>
    <w:rsid w:val="0022362C"/>
    <w:rsid w:val="0022606D"/>
    <w:rsid w:val="00231728"/>
    <w:rsid w:val="00244A05"/>
    <w:rsid w:val="00250404"/>
    <w:rsid w:val="00250C08"/>
    <w:rsid w:val="00256B74"/>
    <w:rsid w:val="002610D8"/>
    <w:rsid w:val="00261FA1"/>
    <w:rsid w:val="002747EC"/>
    <w:rsid w:val="00282FA0"/>
    <w:rsid w:val="002855BF"/>
    <w:rsid w:val="002905FC"/>
    <w:rsid w:val="002A57E4"/>
    <w:rsid w:val="002B2988"/>
    <w:rsid w:val="002E0016"/>
    <w:rsid w:val="002F0D22"/>
    <w:rsid w:val="00311B17"/>
    <w:rsid w:val="003172DC"/>
    <w:rsid w:val="00322831"/>
    <w:rsid w:val="00325AE3"/>
    <w:rsid w:val="00326069"/>
    <w:rsid w:val="0035462D"/>
    <w:rsid w:val="0036459E"/>
    <w:rsid w:val="00364B41"/>
    <w:rsid w:val="00372B0F"/>
    <w:rsid w:val="00383096"/>
    <w:rsid w:val="00392BE9"/>
    <w:rsid w:val="0039346C"/>
    <w:rsid w:val="003A41EF"/>
    <w:rsid w:val="003B40AD"/>
    <w:rsid w:val="003C4E37"/>
    <w:rsid w:val="003D0FD0"/>
    <w:rsid w:val="003D5FEA"/>
    <w:rsid w:val="003E16BE"/>
    <w:rsid w:val="003F4E28"/>
    <w:rsid w:val="004006E8"/>
    <w:rsid w:val="00401855"/>
    <w:rsid w:val="00411AC9"/>
    <w:rsid w:val="00421837"/>
    <w:rsid w:val="00446C3A"/>
    <w:rsid w:val="00465587"/>
    <w:rsid w:val="004767C2"/>
    <w:rsid w:val="00477455"/>
    <w:rsid w:val="00480088"/>
    <w:rsid w:val="00494270"/>
    <w:rsid w:val="004A1F7B"/>
    <w:rsid w:val="004A6B46"/>
    <w:rsid w:val="004B31FF"/>
    <w:rsid w:val="004C2753"/>
    <w:rsid w:val="004C44D2"/>
    <w:rsid w:val="004D3578"/>
    <w:rsid w:val="004D380D"/>
    <w:rsid w:val="004E213A"/>
    <w:rsid w:val="004F4540"/>
    <w:rsid w:val="004F73A7"/>
    <w:rsid w:val="00502896"/>
    <w:rsid w:val="00503171"/>
    <w:rsid w:val="00506C28"/>
    <w:rsid w:val="00507F54"/>
    <w:rsid w:val="00534DA0"/>
    <w:rsid w:val="00537809"/>
    <w:rsid w:val="00543E6C"/>
    <w:rsid w:val="0055240F"/>
    <w:rsid w:val="00555F9A"/>
    <w:rsid w:val="00565087"/>
    <w:rsid w:val="0056573F"/>
    <w:rsid w:val="00571279"/>
    <w:rsid w:val="00575ABE"/>
    <w:rsid w:val="0057750C"/>
    <w:rsid w:val="00584411"/>
    <w:rsid w:val="005A13AB"/>
    <w:rsid w:val="005A49C6"/>
    <w:rsid w:val="005C1857"/>
    <w:rsid w:val="005C766E"/>
    <w:rsid w:val="005C7CD5"/>
    <w:rsid w:val="005E4297"/>
    <w:rsid w:val="005E74FB"/>
    <w:rsid w:val="00611566"/>
    <w:rsid w:val="00613050"/>
    <w:rsid w:val="00636F4C"/>
    <w:rsid w:val="00646D99"/>
    <w:rsid w:val="006541F5"/>
    <w:rsid w:val="00656910"/>
    <w:rsid w:val="006574C0"/>
    <w:rsid w:val="006764D9"/>
    <w:rsid w:val="00696821"/>
    <w:rsid w:val="006B4069"/>
    <w:rsid w:val="006C66D8"/>
    <w:rsid w:val="006D1E24"/>
    <w:rsid w:val="006D35DE"/>
    <w:rsid w:val="006E1057"/>
    <w:rsid w:val="006E1417"/>
    <w:rsid w:val="006E390B"/>
    <w:rsid w:val="006F6A2C"/>
    <w:rsid w:val="007069DC"/>
    <w:rsid w:val="00710201"/>
    <w:rsid w:val="007204B0"/>
    <w:rsid w:val="0072073A"/>
    <w:rsid w:val="007342B5"/>
    <w:rsid w:val="00734A5B"/>
    <w:rsid w:val="007352FF"/>
    <w:rsid w:val="00744E76"/>
    <w:rsid w:val="00757D40"/>
    <w:rsid w:val="007662B5"/>
    <w:rsid w:val="00776751"/>
    <w:rsid w:val="00781F0F"/>
    <w:rsid w:val="0078727C"/>
    <w:rsid w:val="0079049D"/>
    <w:rsid w:val="00793DC5"/>
    <w:rsid w:val="00796823"/>
    <w:rsid w:val="007A2E55"/>
    <w:rsid w:val="007B18D8"/>
    <w:rsid w:val="007C095F"/>
    <w:rsid w:val="007C2DD0"/>
    <w:rsid w:val="007E454F"/>
    <w:rsid w:val="007F2E08"/>
    <w:rsid w:val="00801C6B"/>
    <w:rsid w:val="008024FA"/>
    <w:rsid w:val="008028A4"/>
    <w:rsid w:val="00813245"/>
    <w:rsid w:val="008208AC"/>
    <w:rsid w:val="00831AD6"/>
    <w:rsid w:val="00840DE0"/>
    <w:rsid w:val="00847CD0"/>
    <w:rsid w:val="008607A8"/>
    <w:rsid w:val="0086354A"/>
    <w:rsid w:val="00870753"/>
    <w:rsid w:val="00874EF6"/>
    <w:rsid w:val="008768CA"/>
    <w:rsid w:val="00877EF9"/>
    <w:rsid w:val="00880559"/>
    <w:rsid w:val="008A6032"/>
    <w:rsid w:val="008B5306"/>
    <w:rsid w:val="008B54E8"/>
    <w:rsid w:val="008C2E2A"/>
    <w:rsid w:val="008C3057"/>
    <w:rsid w:val="008C4D2C"/>
    <w:rsid w:val="008D2E4D"/>
    <w:rsid w:val="008F396F"/>
    <w:rsid w:val="008F3DCD"/>
    <w:rsid w:val="0090271F"/>
    <w:rsid w:val="00902DB9"/>
    <w:rsid w:val="0090466A"/>
    <w:rsid w:val="00905E5A"/>
    <w:rsid w:val="00923655"/>
    <w:rsid w:val="009339CB"/>
    <w:rsid w:val="0093441C"/>
    <w:rsid w:val="00936071"/>
    <w:rsid w:val="009376CD"/>
    <w:rsid w:val="00940212"/>
    <w:rsid w:val="00942EC2"/>
    <w:rsid w:val="00961B32"/>
    <w:rsid w:val="00962509"/>
    <w:rsid w:val="00970DB3"/>
    <w:rsid w:val="00974BB0"/>
    <w:rsid w:val="00975BCD"/>
    <w:rsid w:val="009818A2"/>
    <w:rsid w:val="009928A9"/>
    <w:rsid w:val="009A0AF3"/>
    <w:rsid w:val="009B07CD"/>
    <w:rsid w:val="009B331F"/>
    <w:rsid w:val="009C19E9"/>
    <w:rsid w:val="009C62E0"/>
    <w:rsid w:val="009D74A6"/>
    <w:rsid w:val="009E0E87"/>
    <w:rsid w:val="00A10F02"/>
    <w:rsid w:val="00A17176"/>
    <w:rsid w:val="00A204CA"/>
    <w:rsid w:val="00A209D6"/>
    <w:rsid w:val="00A22738"/>
    <w:rsid w:val="00A30E86"/>
    <w:rsid w:val="00A36F5F"/>
    <w:rsid w:val="00A430EC"/>
    <w:rsid w:val="00A53724"/>
    <w:rsid w:val="00A540D5"/>
    <w:rsid w:val="00A54B2B"/>
    <w:rsid w:val="00A63767"/>
    <w:rsid w:val="00A703B6"/>
    <w:rsid w:val="00A82346"/>
    <w:rsid w:val="00A9671C"/>
    <w:rsid w:val="00AA1553"/>
    <w:rsid w:val="00AB0878"/>
    <w:rsid w:val="00AD7281"/>
    <w:rsid w:val="00B05380"/>
    <w:rsid w:val="00B05962"/>
    <w:rsid w:val="00B15449"/>
    <w:rsid w:val="00B16C2F"/>
    <w:rsid w:val="00B2692C"/>
    <w:rsid w:val="00B27303"/>
    <w:rsid w:val="00B46B80"/>
    <w:rsid w:val="00B47752"/>
    <w:rsid w:val="00B47FD1"/>
    <w:rsid w:val="00B516BB"/>
    <w:rsid w:val="00B75311"/>
    <w:rsid w:val="00B7538C"/>
    <w:rsid w:val="00B84DB2"/>
    <w:rsid w:val="00BA61EE"/>
    <w:rsid w:val="00BB42D9"/>
    <w:rsid w:val="00BC3555"/>
    <w:rsid w:val="00BE0850"/>
    <w:rsid w:val="00BE7A94"/>
    <w:rsid w:val="00C00358"/>
    <w:rsid w:val="00C12B51"/>
    <w:rsid w:val="00C24650"/>
    <w:rsid w:val="00C25465"/>
    <w:rsid w:val="00C30C71"/>
    <w:rsid w:val="00C32BEB"/>
    <w:rsid w:val="00C33079"/>
    <w:rsid w:val="00C502B8"/>
    <w:rsid w:val="00C55A12"/>
    <w:rsid w:val="00C6553E"/>
    <w:rsid w:val="00C71893"/>
    <w:rsid w:val="00C83A13"/>
    <w:rsid w:val="00C86F10"/>
    <w:rsid w:val="00C9068C"/>
    <w:rsid w:val="00C92095"/>
    <w:rsid w:val="00C92967"/>
    <w:rsid w:val="00CA2BB9"/>
    <w:rsid w:val="00CA3D0C"/>
    <w:rsid w:val="00CA654B"/>
    <w:rsid w:val="00CB72B8"/>
    <w:rsid w:val="00CD0BA8"/>
    <w:rsid w:val="00CD4C7B"/>
    <w:rsid w:val="00CD58FE"/>
    <w:rsid w:val="00CE5367"/>
    <w:rsid w:val="00D05872"/>
    <w:rsid w:val="00D104B5"/>
    <w:rsid w:val="00D33BE3"/>
    <w:rsid w:val="00D3792D"/>
    <w:rsid w:val="00D46360"/>
    <w:rsid w:val="00D54342"/>
    <w:rsid w:val="00D54820"/>
    <w:rsid w:val="00D55E47"/>
    <w:rsid w:val="00D62E19"/>
    <w:rsid w:val="00D67CD1"/>
    <w:rsid w:val="00D738D6"/>
    <w:rsid w:val="00D80795"/>
    <w:rsid w:val="00D854BE"/>
    <w:rsid w:val="00D87E00"/>
    <w:rsid w:val="00D9134D"/>
    <w:rsid w:val="00D96D11"/>
    <w:rsid w:val="00DA0518"/>
    <w:rsid w:val="00DA7A03"/>
    <w:rsid w:val="00DB0DB8"/>
    <w:rsid w:val="00DB1818"/>
    <w:rsid w:val="00DC309B"/>
    <w:rsid w:val="00DC335B"/>
    <w:rsid w:val="00DC4DA2"/>
    <w:rsid w:val="00DC5261"/>
    <w:rsid w:val="00DC57D8"/>
    <w:rsid w:val="00DE25D2"/>
    <w:rsid w:val="00DE7AD0"/>
    <w:rsid w:val="00DF6612"/>
    <w:rsid w:val="00DF7C20"/>
    <w:rsid w:val="00E038FB"/>
    <w:rsid w:val="00E13D2A"/>
    <w:rsid w:val="00E15E40"/>
    <w:rsid w:val="00E43E46"/>
    <w:rsid w:val="00E46C08"/>
    <w:rsid w:val="00E471CF"/>
    <w:rsid w:val="00E51F64"/>
    <w:rsid w:val="00E62835"/>
    <w:rsid w:val="00E6480E"/>
    <w:rsid w:val="00E77645"/>
    <w:rsid w:val="00E83697"/>
    <w:rsid w:val="00E859B6"/>
    <w:rsid w:val="00E95056"/>
    <w:rsid w:val="00EA66C9"/>
    <w:rsid w:val="00EB5D32"/>
    <w:rsid w:val="00EC33E7"/>
    <w:rsid w:val="00EC4A25"/>
    <w:rsid w:val="00EF3E2E"/>
    <w:rsid w:val="00EF612C"/>
    <w:rsid w:val="00F025A2"/>
    <w:rsid w:val="00F036E9"/>
    <w:rsid w:val="00F07388"/>
    <w:rsid w:val="00F2026E"/>
    <w:rsid w:val="00F20D45"/>
    <w:rsid w:val="00F2210A"/>
    <w:rsid w:val="00F244DD"/>
    <w:rsid w:val="00F31372"/>
    <w:rsid w:val="00F37743"/>
    <w:rsid w:val="00F46232"/>
    <w:rsid w:val="00F54A3D"/>
    <w:rsid w:val="00F54CB0"/>
    <w:rsid w:val="00F579CD"/>
    <w:rsid w:val="00F653B8"/>
    <w:rsid w:val="00F71B89"/>
    <w:rsid w:val="00F7353C"/>
    <w:rsid w:val="00F76F8F"/>
    <w:rsid w:val="00F8650B"/>
    <w:rsid w:val="00F87257"/>
    <w:rsid w:val="00F941DF"/>
    <w:rsid w:val="00FA1266"/>
    <w:rsid w:val="00FB32DA"/>
    <w:rsid w:val="00FB36FA"/>
    <w:rsid w:val="00FB406D"/>
    <w:rsid w:val="00FC1192"/>
    <w:rsid w:val="00FC12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E95056"/>
    <w:pPr>
      <w:ind w:left="720"/>
      <w:contextualSpacing/>
    </w:pPr>
  </w:style>
  <w:style w:type="table" w:styleId="TableGrid">
    <w:name w:val="Table Grid"/>
    <w:basedOn w:val="TableNormal"/>
    <w:rsid w:val="00BE7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92095"/>
    <w:rPr>
      <w:sz w:val="16"/>
      <w:szCs w:val="16"/>
    </w:rPr>
  </w:style>
  <w:style w:type="paragraph" w:styleId="CommentText">
    <w:name w:val="annotation text"/>
    <w:basedOn w:val="Normal"/>
    <w:link w:val="CommentTextChar"/>
    <w:rsid w:val="00C92095"/>
  </w:style>
  <w:style w:type="character" w:customStyle="1" w:styleId="CommentTextChar">
    <w:name w:val="Comment Text Char"/>
    <w:basedOn w:val="DefaultParagraphFont"/>
    <w:link w:val="CommentText"/>
    <w:rsid w:val="00C92095"/>
    <w:rPr>
      <w:lang w:eastAsia="en-US"/>
    </w:rPr>
  </w:style>
  <w:style w:type="paragraph" w:styleId="CommentSubject">
    <w:name w:val="annotation subject"/>
    <w:basedOn w:val="CommentText"/>
    <w:next w:val="CommentText"/>
    <w:link w:val="CommentSubjectChar"/>
    <w:rsid w:val="00C92095"/>
    <w:rPr>
      <w:b/>
      <w:bCs/>
    </w:rPr>
  </w:style>
  <w:style w:type="character" w:customStyle="1" w:styleId="CommentSubjectChar">
    <w:name w:val="Comment Subject Char"/>
    <w:basedOn w:val="CommentTextChar"/>
    <w:link w:val="CommentSubject"/>
    <w:rsid w:val="00C92095"/>
    <w:rPr>
      <w:b/>
      <w:bCs/>
      <w:lang w:eastAsia="en-US"/>
    </w:rPr>
  </w:style>
  <w:style w:type="paragraph" w:styleId="Caption">
    <w:name w:val="caption"/>
    <w:basedOn w:val="Normal"/>
    <w:next w:val="Normal"/>
    <w:unhideWhenUsed/>
    <w:qFormat/>
    <w:rsid w:val="006764D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8268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5AIRPNAIUNRU-859666464-14206</_dlc_DocId>
    <_dlc_DocIdUrl xmlns="71c5aaf6-e6ce-465b-b873-5148d2a4c105">
      <Url>https://nokia.sharepoint.com/sites/c5g/e2earch/_layouts/15/DocIdRedir.aspx?ID=5AIRPNAIUNRU-859666464-14206</Url>
      <Description>5AIRPNAIUNRU-859666464-14206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http://www.w3.org/XML/1998/namespace"/>
    <ds:schemaRef ds:uri="http://purl.org/dc/terms/"/>
    <ds:schemaRef ds:uri="http://schemas.microsoft.com/office/2006/documentManagement/types"/>
    <ds:schemaRef ds:uri="http://purl.org/dc/elements/1.1/"/>
    <ds:schemaRef ds:uri="http://schemas.openxmlformats.org/package/2006/metadata/core-properties"/>
    <ds:schemaRef ds:uri="83f22d2f-d16e-4be6-ad4f-29fa0b067c3c"/>
    <ds:schemaRef ds:uri="a3840f4f-04be-43d1-b2ef-6ff1382503c7"/>
    <ds:schemaRef ds:uri="3b34c8f0-1ef5-4d1e-bb66-517ce7fe7356"/>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9BC1392C-954C-460E-9731-F9AF9885577D}">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5</Pages>
  <Words>1622</Words>
  <Characters>9158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10759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110</cp:revision>
  <dcterms:created xsi:type="dcterms:W3CDTF">2023-05-04T13:59:00Z</dcterms:created>
  <dcterms:modified xsi:type="dcterms:W3CDTF">2023-05-12T07:55:00Z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f3d84933-40c0-4bb3-b540-87a79f4f8ee9</vt:lpwstr>
  </property>
</Properties>
</file>